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579755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605155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14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3"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149"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CURRENT REPORT</w:t>
      </w:r>
    </w:p>
    <w:p>
      <w:pPr>
        <w:spacing w:after="0" w:line="166"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EXCHANGE ACT OF 1934</w:t>
      </w:r>
    </w:p>
    <w:p>
      <w:pPr>
        <w:spacing w:after="0" w:line="149"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Date of report (Date of earliest event reported): May 7, 2021</w:t>
      </w:r>
    </w:p>
    <w:p>
      <w:pPr>
        <w:spacing w:after="0" w:line="195"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93" w:lineRule="exact"/>
        <w:rPr>
          <w:sz w:val="24"/>
          <w:szCs w:val="24"/>
          <w:color w:val="auto"/>
        </w:rPr>
      </w:pPr>
    </w:p>
    <w:p>
      <w:pPr>
        <w:jc w:val="center"/>
        <w:ind w:right="-79"/>
        <w:spacing w:after="0"/>
        <w:rPr>
          <w:sz w:val="20"/>
          <w:szCs w:val="20"/>
          <w:color w:val="auto"/>
        </w:rPr>
      </w:pPr>
      <w:r>
        <w:rPr>
          <w:rFonts w:ascii="Arial" w:cs="Arial" w:eastAsia="Arial" w:hAnsi="Arial"/>
          <w:sz w:val="28"/>
          <w:szCs w:val="28"/>
          <w:b w:val="1"/>
          <w:bCs w:val="1"/>
          <w:color w:val="auto"/>
        </w:rPr>
        <w:t>California Resources Corporation</w:t>
      </w:r>
    </w:p>
    <w:p>
      <w:pPr>
        <w:spacing w:after="0" w:line="4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60"/>
          </w:cols>
          <w:pgMar w:left="320" w:top="1401" w:right="419" w:bottom="1440" w:gutter="0" w:footer="0" w:header="0"/>
        </w:sectPr>
      </w:pPr>
    </w:p>
    <w:p>
      <w:pPr>
        <w:spacing w:after="0" w:line="120"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6" w:lineRule="exact"/>
        <w:rPr>
          <w:sz w:val="24"/>
          <w:szCs w:val="24"/>
          <w:color w:val="auto"/>
        </w:rPr>
      </w:pPr>
    </w:p>
    <w:p>
      <w:pPr>
        <w:ind w:left="780"/>
        <w:spacing w:after="0"/>
        <w:rPr>
          <w:sz w:val="20"/>
          <w:szCs w:val="20"/>
          <w:color w:val="auto"/>
        </w:rPr>
      </w:pPr>
      <w:r>
        <w:rPr>
          <w:rFonts w:ascii="Arial" w:cs="Arial" w:eastAsia="Arial" w:hAnsi="Arial"/>
          <w:sz w:val="16"/>
          <w:szCs w:val="16"/>
          <w:color w:val="auto"/>
        </w:rPr>
        <w:t>(State or Other Jurisdiction of</w:t>
      </w:r>
    </w:p>
    <w:p>
      <w:pPr>
        <w:spacing w:after="0" w:line="3"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001-36478</w:t>
      </w:r>
    </w:p>
    <w:p>
      <w:pPr>
        <w:spacing w:after="0" w:line="26" w:lineRule="exact"/>
        <w:rPr>
          <w:sz w:val="24"/>
          <w:szCs w:val="24"/>
          <w:color w:val="auto"/>
        </w:rPr>
      </w:pPr>
    </w:p>
    <w:p>
      <w:pPr>
        <w:jc w:val="center"/>
        <w:ind w:right="1900"/>
        <w:spacing w:after="0"/>
        <w:rPr>
          <w:sz w:val="20"/>
          <w:szCs w:val="20"/>
          <w:color w:val="auto"/>
        </w:rPr>
      </w:pPr>
      <w:r>
        <w:rPr>
          <w:rFonts w:ascii="Arial" w:cs="Arial" w:eastAsia="Arial" w:hAnsi="Arial"/>
          <w:sz w:val="16"/>
          <w:szCs w:val="16"/>
          <w:color w:val="auto"/>
        </w:rPr>
        <w:t>(Commission</w:t>
      </w:r>
    </w:p>
    <w:p>
      <w:pPr>
        <w:spacing w:after="0" w:line="3" w:lineRule="exact"/>
        <w:rPr>
          <w:sz w:val="24"/>
          <w:szCs w:val="24"/>
          <w:color w:val="auto"/>
        </w:rPr>
      </w:pPr>
    </w:p>
    <w:p>
      <w:pPr>
        <w:jc w:val="center"/>
        <w:ind w:right="190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46-5670947</w:t>
      </w:r>
    </w:p>
    <w:p>
      <w:pPr>
        <w:spacing w:after="0" w:line="6"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rPr>
          <w:sz w:val="20"/>
          <w:szCs w:val="20"/>
          <w:color w:val="auto"/>
        </w:rPr>
      </w:pPr>
      <w:r>
        <w:rPr>
          <w:rFonts w:ascii="Arial" w:cs="Arial" w:eastAsia="Arial" w:hAnsi="Arial"/>
          <w:sz w:val="16"/>
          <w:szCs w:val="16"/>
          <w:color w:val="auto"/>
        </w:rPr>
        <w:t>Identification No.)</w:t>
      </w:r>
    </w:p>
    <w:p>
      <w:pPr>
        <w:spacing w:after="0" w:line="115" w:lineRule="exact"/>
        <w:rPr>
          <w:sz w:val="24"/>
          <w:szCs w:val="24"/>
          <w:color w:val="auto"/>
        </w:rPr>
      </w:pPr>
    </w:p>
    <w:p>
      <w:pPr>
        <w:sectPr>
          <w:pgSz w:w="11900" w:h="16838" w:orient="portrait"/>
          <w:cols w:equalWidth="0" w:num="3">
            <w:col w:w="4380" w:space="720"/>
            <w:col w:w="2880" w:space="720"/>
            <w:col w:w="2460"/>
          </w:cols>
          <w:pgMar w:left="320" w:top="1401" w:right="419" w:bottom="1440" w:gutter="0" w:footer="0" w:header="0"/>
          <w:type w:val="continuous"/>
        </w:sectPr>
      </w:pPr>
    </w:p>
    <w:p>
      <w:pPr>
        <w:jc w:val="center"/>
        <w:ind w:right="1680"/>
        <w:spacing w:after="0"/>
        <w:rPr>
          <w:sz w:val="20"/>
          <w:szCs w:val="20"/>
          <w:color w:val="auto"/>
        </w:rPr>
      </w:pPr>
      <w:r>
        <w:rPr>
          <w:rFonts w:ascii="Arial" w:cs="Arial" w:eastAsia="Arial" w:hAnsi="Arial"/>
          <w:sz w:val="18"/>
          <w:szCs w:val="18"/>
          <w:b w:val="1"/>
          <w:bCs w:val="1"/>
          <w:color w:val="auto"/>
        </w:rPr>
        <w:t>27200 Tourney Road</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Suite 200</w:t>
      </w:r>
    </w:p>
    <w:p>
      <w:pPr>
        <w:spacing w:after="0" w:line="20"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Santa Clarita</w:t>
      </w:r>
    </w:p>
    <w:p>
      <w:pPr>
        <w:spacing w:after="0" w:line="20"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California</w:t>
      </w:r>
    </w:p>
    <w:p>
      <w:pPr>
        <w:spacing w:after="0" w:line="22" w:lineRule="exact"/>
        <w:rPr>
          <w:sz w:val="24"/>
          <w:szCs w:val="24"/>
          <w:color w:val="auto"/>
        </w:rPr>
      </w:pPr>
    </w:p>
    <w:p>
      <w:pPr>
        <w:jc w:val="center"/>
        <w:ind w:right="16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91355</w:t>
      </w:r>
    </w:p>
    <w:p>
      <w:pPr>
        <w:spacing w:after="0" w:line="26"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183" w:lineRule="exact"/>
        <w:rPr>
          <w:sz w:val="24"/>
          <w:szCs w:val="24"/>
          <w:color w:val="auto"/>
        </w:rPr>
      </w:pPr>
    </w:p>
    <w:p>
      <w:pPr>
        <w:sectPr>
          <w:pgSz w:w="11900" w:h="16838" w:orient="portrait"/>
          <w:cols w:equalWidth="0" w:num="2">
            <w:col w:w="7300" w:space="720"/>
            <w:col w:w="3140"/>
          </w:cols>
          <w:pgMar w:left="320" w:top="1401" w:right="419" w:bottom="1440" w:gutter="0" w:footer="0" w:header="0"/>
          <w:type w:val="continuous"/>
        </w:sectPr>
      </w:pPr>
    </w:p>
    <w:p>
      <w:pPr>
        <w:ind w:left="298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66"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N/A</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6"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155" w:lineRule="exact"/>
        <w:rPr>
          <w:sz w:val="24"/>
          <w:szCs w:val="24"/>
          <w:color w:val="auto"/>
        </w:rPr>
      </w:pPr>
    </w:p>
    <w:p>
      <w:pPr>
        <w:spacing w:after="0" w:line="26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6" w:lineRule="exact"/>
        <w:rPr>
          <w:sz w:val="24"/>
          <w:szCs w:val="24"/>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23"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23"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23"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60"/>
          </w:cols>
          <w:pgMar w:left="320" w:top="1401" w:right="419" w:bottom="1440" w:gutter="0" w:footer="0" w:header="0"/>
          <w:type w:val="continuous"/>
        </w:sectPr>
      </w:pPr>
    </w:p>
    <w:p>
      <w:pPr>
        <w:spacing w:after="0" w:line="120"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Title of each class</w:t>
      </w:r>
    </w:p>
    <w:p>
      <w:pPr>
        <w:spacing w:after="0" w:line="72"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Trading Symbol(s)</w:t>
      </w:r>
    </w:p>
    <w:p>
      <w:pPr>
        <w:spacing w:after="0" w:line="4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CRC</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660"/>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72" w:lineRule="exact"/>
        <w:rPr>
          <w:sz w:val="24"/>
          <w:szCs w:val="24"/>
          <w:color w:val="auto"/>
        </w:rPr>
      </w:pPr>
    </w:p>
    <w:p>
      <w:pPr>
        <w:jc w:val="center"/>
        <w:ind w:right="660"/>
        <w:spacing w:after="0"/>
        <w:rPr>
          <w:sz w:val="20"/>
          <w:szCs w:val="20"/>
          <w:color w:val="auto"/>
        </w:rPr>
      </w:pPr>
      <w:r>
        <w:rPr>
          <w:rFonts w:ascii="Arial" w:cs="Arial" w:eastAsia="Arial" w:hAnsi="Arial"/>
          <w:sz w:val="18"/>
          <w:szCs w:val="18"/>
          <w:color w:val="auto"/>
        </w:rPr>
        <w:t>New York Stock Exchange</w:t>
      </w:r>
    </w:p>
    <w:p>
      <w:pPr>
        <w:spacing w:after="0" w:line="166" w:lineRule="exact"/>
        <w:rPr>
          <w:sz w:val="24"/>
          <w:szCs w:val="24"/>
          <w:color w:val="auto"/>
        </w:rPr>
      </w:pPr>
    </w:p>
    <w:p>
      <w:pPr>
        <w:sectPr>
          <w:pgSz w:w="11900" w:h="16838" w:orient="portrait"/>
          <w:cols w:equalWidth="0" w:num="3">
            <w:col w:w="3480" w:space="720"/>
            <w:col w:w="2280" w:space="720"/>
            <w:col w:w="3960"/>
          </w:cols>
          <w:pgMar w:left="320" w:top="1401" w:right="419" w:bottom="1440" w:gutter="0" w:footer="0" w:header="0"/>
          <w:type w:val="continuous"/>
        </w:sectPr>
      </w:pPr>
    </w:p>
    <w:p>
      <w:pPr>
        <w:ind w:right="220"/>
        <w:spacing w:after="0" w:line="26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4"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10" w:lineRule="exact"/>
        <w:rPr>
          <w:sz w:val="24"/>
          <w:szCs w:val="24"/>
          <w:color w:val="auto"/>
        </w:rPr>
      </w:pPr>
    </w:p>
    <w:p>
      <w:pPr>
        <w:ind w:right="40"/>
        <w:spacing w:after="0" w:line="24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765810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211455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236855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1401" w:right="41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39" w:lineRule="exact"/>
        <w:rPr>
          <w:sz w:val="20"/>
          <w:szCs w:val="20"/>
          <w:color w:val="auto"/>
        </w:rPr>
      </w:pPr>
    </w:p>
    <w:p>
      <w:pPr>
        <w:ind w:right="260" w:firstLine="320"/>
        <w:spacing w:after="0" w:line="241" w:lineRule="auto"/>
        <w:rPr>
          <w:sz w:val="20"/>
          <w:szCs w:val="20"/>
          <w:color w:val="auto"/>
        </w:rPr>
      </w:pPr>
      <w:r>
        <w:rPr>
          <w:rFonts w:ascii="Arial" w:cs="Arial" w:eastAsia="Arial" w:hAnsi="Arial"/>
          <w:sz w:val="18"/>
          <w:szCs w:val="18"/>
          <w:color w:val="auto"/>
        </w:rPr>
        <w:t>On May 7, 2021, California Resources Corporation (the “Company”) amended their Credit Agreement, dated as of October 27, 2020, with Citibank, N.A., as administrative agent, collateral agent, and issuing bank, and the several lenders party thereto. The purpose of the amendment was to, among other things:</w:t>
      </w:r>
    </w:p>
    <w:p>
      <w:pPr>
        <w:spacing w:after="0" w:line="216" w:lineRule="exact"/>
        <w:rPr>
          <w:sz w:val="20"/>
          <w:szCs w:val="20"/>
          <w:color w:val="auto"/>
        </w:rPr>
      </w:pPr>
    </w:p>
    <w:p>
      <w:pPr>
        <w:ind w:left="640" w:right="80" w:hanging="314"/>
        <w:spacing w:after="0" w:line="267" w:lineRule="auto"/>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 the Company’s capacity to make certain restricted payments, including paying dividends on its common stock and repurchasing its common stock;</w:t>
      </w:r>
    </w:p>
    <w:p>
      <w:pPr>
        <w:spacing w:after="0" w:line="205" w:lineRule="exact"/>
        <w:rPr>
          <w:rFonts w:ascii="Arial" w:cs="Arial" w:eastAsia="Arial" w:hAnsi="Arial"/>
          <w:sz w:val="18"/>
          <w:szCs w:val="18"/>
          <w:color w:val="auto"/>
        </w:rPr>
      </w:pPr>
    </w:p>
    <w:p>
      <w:pPr>
        <w:ind w:left="640" w:right="200" w:hanging="314"/>
        <w:spacing w:after="0" w:line="267" w:lineRule="auto"/>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reduce the minimum amount of hedges that the Company is required to maintain for a rolling 24 month period on reasonably anticipated forecasted crude oil production from 50% to 33% so long as its total net leverage ratio is less than 2.00:1.00;</w:t>
      </w:r>
    </w:p>
    <w:p>
      <w:pPr>
        <w:spacing w:after="0" w:line="205" w:lineRule="exact"/>
        <w:rPr>
          <w:rFonts w:ascii="Arial" w:cs="Arial" w:eastAsia="Arial" w:hAnsi="Arial"/>
          <w:sz w:val="18"/>
          <w:szCs w:val="18"/>
          <w:color w:val="auto"/>
        </w:rPr>
      </w:pPr>
    </w:p>
    <w:p>
      <w:pPr>
        <w:ind w:left="640" w:right="460" w:hanging="314"/>
        <w:spacing w:after="0" w:line="267" w:lineRule="auto"/>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 the Company’s maximum hedging limitation to 85% (and permit purchased puts and floors up to 100%) of reasonably anticipated total forecasted production of crude oil, natural gas and natural gas liquids for a 48-month period; and</w:t>
      </w:r>
    </w:p>
    <w:p>
      <w:pPr>
        <w:spacing w:after="0" w:line="205" w:lineRule="exact"/>
        <w:rPr>
          <w:rFonts w:ascii="Arial" w:cs="Arial" w:eastAsia="Arial" w:hAnsi="Arial"/>
          <w:sz w:val="18"/>
          <w:szCs w:val="18"/>
          <w:color w:val="auto"/>
        </w:rPr>
      </w:pPr>
    </w:p>
    <w:p>
      <w:pPr>
        <w:ind w:left="560" w:hanging="234"/>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set the Company’s borrowing base at $1.2 billion.</w:t>
      </w:r>
    </w:p>
    <w:p>
      <w:pPr>
        <w:spacing w:after="0" w:line="200" w:lineRule="exact"/>
        <w:rPr>
          <w:sz w:val="20"/>
          <w:szCs w:val="20"/>
          <w:color w:val="auto"/>
        </w:rPr>
      </w:pPr>
    </w:p>
    <w:p>
      <w:pPr>
        <w:spacing w:after="0" w:line="28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700" w:type="dxa"/>
            <w:vAlign w:val="bottom"/>
          </w:tcPr>
          <w:p>
            <w:pPr>
              <w:spacing w:after="0"/>
              <w:rPr>
                <w:sz w:val="20"/>
                <w:szCs w:val="20"/>
                <w:color w:val="auto"/>
              </w:rPr>
            </w:pPr>
            <w:r>
              <w:rPr>
                <w:rFonts w:ascii="Arial" w:cs="Arial" w:eastAsia="Arial" w:hAnsi="Arial"/>
                <w:sz w:val="18"/>
                <w:szCs w:val="18"/>
                <w:color w:val="auto"/>
              </w:rPr>
              <w:t>(d)  Exhibits</w:t>
            </w:r>
          </w:p>
        </w:tc>
        <w:tc>
          <w:tcPr>
            <w:tcW w:w="4220" w:type="dxa"/>
            <w:vAlign w:val="bottom"/>
          </w:tcPr>
          <w:p>
            <w:pPr>
              <w:spacing w:after="0"/>
              <w:rPr>
                <w:sz w:val="19"/>
                <w:szCs w:val="19"/>
                <w:color w:val="auto"/>
              </w:rPr>
            </w:pPr>
          </w:p>
        </w:tc>
        <w:tc>
          <w:tcPr>
            <w:tcW w:w="4320" w:type="dxa"/>
            <w:vAlign w:val="bottom"/>
          </w:tcPr>
          <w:p>
            <w:pPr>
              <w:spacing w:after="0"/>
              <w:rPr>
                <w:sz w:val="19"/>
                <w:szCs w:val="19"/>
                <w:color w:val="auto"/>
              </w:rPr>
            </w:pPr>
          </w:p>
        </w:tc>
      </w:tr>
      <w:tr>
        <w:trPr>
          <w:trHeight w:val="493"/>
        </w:trPr>
        <w:tc>
          <w:tcPr>
            <w:tcW w:w="2700" w:type="dxa"/>
            <w:vAlign w:val="bottom"/>
          </w:tcPr>
          <w:p>
            <w:pPr>
              <w:ind w:left="920"/>
              <w:spacing w:after="0"/>
              <w:rPr>
                <w:sz w:val="20"/>
                <w:szCs w:val="20"/>
                <w:color w:val="auto"/>
              </w:rPr>
            </w:pPr>
            <w:r>
              <w:rPr>
                <w:rFonts w:ascii="Arial" w:cs="Arial" w:eastAsia="Arial" w:hAnsi="Arial"/>
                <w:sz w:val="18"/>
                <w:szCs w:val="18"/>
                <w:b w:val="1"/>
                <w:bCs w:val="1"/>
                <w:color w:val="auto"/>
              </w:rPr>
              <w:t>Exhibit No.</w:t>
            </w:r>
          </w:p>
        </w:tc>
        <w:tc>
          <w:tcPr>
            <w:tcW w:w="8540" w:type="dxa"/>
            <w:vAlign w:val="bottom"/>
            <w:gridSpan w:val="2"/>
          </w:tcPr>
          <w:p>
            <w:pPr>
              <w:ind w:left="3940"/>
              <w:spacing w:after="0"/>
              <w:rPr>
                <w:sz w:val="20"/>
                <w:szCs w:val="20"/>
                <w:color w:val="auto"/>
              </w:rPr>
            </w:pPr>
            <w:r>
              <w:rPr>
                <w:rFonts w:ascii="Arial" w:cs="Arial" w:eastAsia="Arial" w:hAnsi="Arial"/>
                <w:sz w:val="18"/>
                <w:szCs w:val="18"/>
                <w:b w:val="1"/>
                <w:bCs w:val="1"/>
                <w:color w:val="auto"/>
              </w:rPr>
              <w:t>Description</w:t>
            </w:r>
          </w:p>
        </w:tc>
      </w:tr>
      <w:tr>
        <w:trPr>
          <w:trHeight w:val="228"/>
        </w:trPr>
        <w:tc>
          <w:tcPr>
            <w:tcW w:w="2700" w:type="dxa"/>
            <w:vAlign w:val="bottom"/>
          </w:tcPr>
          <w:p>
            <w:pPr>
              <w:jc w:val="right"/>
              <w:ind w:right="1111"/>
              <w:spacing w:after="0"/>
              <w:rPr>
                <w:sz w:val="20"/>
                <w:szCs w:val="20"/>
                <w:color w:val="auto"/>
              </w:rPr>
            </w:pPr>
            <w:r>
              <w:rPr>
                <w:rFonts w:ascii="Arial" w:cs="Arial" w:eastAsia="Arial" w:hAnsi="Arial"/>
                <w:sz w:val="18"/>
                <w:szCs w:val="18"/>
                <w:color w:val="auto"/>
              </w:rPr>
              <w:t>10.1</w:t>
            </w:r>
          </w:p>
        </w:tc>
        <w:tc>
          <w:tcPr>
            <w:tcW w:w="4220" w:type="dxa"/>
            <w:vAlign w:val="bottom"/>
            <w:tcBorders>
              <w:bottom w:val="single" w:sz="8" w:color="0000FF"/>
            </w:tcBorders>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First Amendment to Credit Agreement, dated May 7, 2021.</w:t>
              </w:r>
            </w:hyperlink>
          </w:p>
        </w:tc>
        <w:tc>
          <w:tcPr>
            <w:tcW w:w="4320" w:type="dxa"/>
            <w:vAlign w:val="bottom"/>
          </w:tcPr>
          <w:p>
            <w:pPr>
              <w:spacing w:after="0"/>
              <w:rPr>
                <w:sz w:val="19"/>
                <w:szCs w:val="19"/>
                <w:color w:val="auto"/>
              </w:rPr>
            </w:pPr>
          </w:p>
        </w:tc>
      </w:tr>
      <w:tr>
        <w:trPr>
          <w:trHeight w:val="285"/>
        </w:trPr>
        <w:tc>
          <w:tcPr>
            <w:tcW w:w="2700" w:type="dxa"/>
            <w:vAlign w:val="bottom"/>
          </w:tcPr>
          <w:p>
            <w:pPr>
              <w:jc w:val="right"/>
              <w:ind w:right="1131"/>
              <w:spacing w:after="0"/>
              <w:rPr>
                <w:sz w:val="20"/>
                <w:szCs w:val="20"/>
                <w:color w:val="auto"/>
              </w:rPr>
            </w:pPr>
            <w:r>
              <w:rPr>
                <w:rFonts w:ascii="Arial" w:cs="Arial" w:eastAsia="Arial" w:hAnsi="Arial"/>
                <w:sz w:val="18"/>
                <w:szCs w:val="18"/>
                <w:color w:val="auto"/>
              </w:rPr>
              <w:t>104</w:t>
            </w:r>
          </w:p>
        </w:tc>
        <w:tc>
          <w:tcPr>
            <w:tcW w:w="85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399"/>
        </w:trPr>
        <w:tc>
          <w:tcPr>
            <w:tcW w:w="2700" w:type="dxa"/>
            <w:vAlign w:val="bottom"/>
          </w:tcPr>
          <w:p>
            <w:pPr>
              <w:spacing w:after="0"/>
              <w:rPr>
                <w:sz w:val="24"/>
                <w:szCs w:val="24"/>
                <w:color w:val="auto"/>
              </w:rPr>
            </w:pPr>
          </w:p>
        </w:tc>
        <w:tc>
          <w:tcPr>
            <w:tcW w:w="4220" w:type="dxa"/>
            <w:vAlign w:val="bottom"/>
          </w:tcPr>
          <w:p>
            <w:pPr>
              <w:jc w:val="right"/>
              <w:ind w:right="1171"/>
              <w:spacing w:after="0"/>
              <w:rPr>
                <w:sz w:val="20"/>
                <w:szCs w:val="20"/>
                <w:color w:val="auto"/>
              </w:rPr>
            </w:pPr>
            <w:r>
              <w:rPr>
                <w:rFonts w:ascii="Arial" w:cs="Arial" w:eastAsia="Arial" w:hAnsi="Arial"/>
                <w:sz w:val="18"/>
                <w:szCs w:val="18"/>
                <w:color w:val="auto"/>
              </w:rPr>
              <w:t>1</w:t>
            </w:r>
          </w:p>
        </w:tc>
        <w:tc>
          <w:tcPr>
            <w:tcW w:w="4320" w:type="dxa"/>
            <w:vAlign w:val="bottom"/>
          </w:tcPr>
          <w:p>
            <w:pPr>
              <w:spacing w:after="0"/>
              <w:rPr>
                <w:sz w:val="24"/>
                <w:szCs w:val="24"/>
                <w:color w:val="auto"/>
              </w:rPr>
            </w:pPr>
          </w:p>
        </w:tc>
      </w:tr>
      <w:tr>
        <w:trPr>
          <w:trHeight w:val="115"/>
        </w:trPr>
        <w:tc>
          <w:tcPr>
            <w:tcW w:w="2700" w:type="dxa"/>
            <w:vAlign w:val="bottom"/>
            <w:tcBorders>
              <w:bottom w:val="single" w:sz="8" w:color="9A9A9A"/>
            </w:tcBorders>
          </w:tcPr>
          <w:p>
            <w:pPr>
              <w:spacing w:after="0"/>
              <w:rPr>
                <w:sz w:val="9"/>
                <w:szCs w:val="9"/>
                <w:color w:val="auto"/>
              </w:rPr>
            </w:pPr>
          </w:p>
        </w:tc>
        <w:tc>
          <w:tcPr>
            <w:tcW w:w="4220" w:type="dxa"/>
            <w:vAlign w:val="bottom"/>
            <w:tcBorders>
              <w:bottom w:val="single" w:sz="8" w:color="9A9A9A"/>
            </w:tcBorders>
          </w:tcPr>
          <w:p>
            <w:pPr>
              <w:spacing w:after="0"/>
              <w:rPr>
                <w:sz w:val="9"/>
                <w:szCs w:val="9"/>
                <w:color w:val="auto"/>
              </w:rPr>
            </w:pPr>
          </w:p>
        </w:tc>
        <w:tc>
          <w:tcPr>
            <w:tcW w:w="43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ind w:right="780" w:firstLine="320"/>
        <w:spacing w:after="0" w:line="26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 Michael L. Preston</w:t>
      </w:r>
    </w:p>
    <w:p>
      <w:pPr>
        <w:spacing w:after="0" w:line="17" w:lineRule="exact"/>
        <w:rPr>
          <w:sz w:val="20"/>
          <w:szCs w:val="20"/>
          <w:color w:val="auto"/>
        </w:rPr>
      </w:pPr>
    </w:p>
    <w:tbl>
      <w:tblPr>
        <w:tblLayout w:type="fixed"/>
        <w:tblInd w:w="4800" w:type="dxa"/>
        <w:tblCellMar>
          <w:top w:w="0" w:type="dxa"/>
          <w:left w:w="0" w:type="dxa"/>
          <w:bottom w:w="0" w:type="dxa"/>
          <w:right w:w="0" w:type="dxa"/>
        </w:tblCellMar>
      </w:tblPr>
      <w:tr>
        <w:trPr>
          <w:trHeight w:val="222"/>
        </w:trPr>
        <w:tc>
          <w:tcPr>
            <w:tcW w:w="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Michael L. Preston</w:t>
            </w:r>
          </w:p>
        </w:tc>
      </w:tr>
      <w:tr>
        <w:trPr>
          <w:trHeight w:val="213"/>
        </w:trPr>
        <w:tc>
          <w:tcPr>
            <w:tcW w:w="740" w:type="dxa"/>
            <w:vAlign w:val="bottom"/>
          </w:tcPr>
          <w:p>
            <w:pPr>
              <w:ind w:left="20"/>
              <w:spacing w:after="0"/>
              <w:rPr>
                <w:sz w:val="20"/>
                <w:szCs w:val="20"/>
                <w:color w:val="auto"/>
              </w:rPr>
            </w:pPr>
            <w:r>
              <w:rPr>
                <w:rFonts w:ascii="Arial" w:cs="Arial" w:eastAsia="Arial" w:hAnsi="Arial"/>
                <w:sz w:val="18"/>
                <w:szCs w:val="18"/>
                <w:color w:val="auto"/>
              </w:rPr>
              <w:t>Title:</w:t>
            </w:r>
          </w:p>
        </w:tc>
        <w:tc>
          <w:tcPr>
            <w:tcW w:w="5700" w:type="dxa"/>
            <w:vAlign w:val="bottom"/>
          </w:tcPr>
          <w:p>
            <w:pPr>
              <w:ind w:left="240"/>
              <w:spacing w:after="0"/>
              <w:rPr>
                <w:sz w:val="20"/>
                <w:szCs w:val="20"/>
                <w:color w:val="auto"/>
              </w:rPr>
            </w:pPr>
            <w:r>
              <w:rPr>
                <w:rFonts w:ascii="Arial" w:cs="Arial" w:eastAsia="Arial" w:hAnsi="Arial"/>
                <w:sz w:val="18"/>
                <w:szCs w:val="18"/>
                <w:color w:val="auto"/>
                <w:w w:val="92"/>
              </w:rPr>
              <w:t>Senior Executive Vice President, Chief Administrative Officer and General</w:t>
            </w:r>
          </w:p>
        </w:tc>
      </w:tr>
      <w:tr>
        <w:trPr>
          <w:trHeight w:val="224"/>
        </w:trPr>
        <w:tc>
          <w:tcPr>
            <w:tcW w:w="740" w:type="dxa"/>
            <w:vAlign w:val="bottom"/>
          </w:tcPr>
          <w:p>
            <w:pPr>
              <w:spacing w:after="0"/>
              <w:rPr>
                <w:sz w:val="19"/>
                <w:szCs w:val="19"/>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DATED: May 10, 2021</w:t>
      </w:r>
    </w:p>
    <w:p>
      <w:pPr>
        <w:sectPr>
          <w:pgSz w:w="11900" w:h="16838" w:orient="portrait"/>
          <w:cols w:equalWidth="0" w:num="1">
            <w:col w:w="11240"/>
          </w:cols>
          <w:pgMar w:left="320" w:top="140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1"/>
          <w:szCs w:val="2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FIRST AMENDMENT TO CREDIT AGREEMENT</w:t>
      </w:r>
    </w:p>
    <w:p>
      <w:pPr>
        <w:spacing w:after="0" w:line="185"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20"/>
          <w:szCs w:val="20"/>
          <w:color w:val="auto"/>
        </w:rPr>
        <w:t>THIS FIRST AMENDMENT TO CREDIT AGREEMENT (this “</w:t>
      </w:r>
      <w:r>
        <w:rPr>
          <w:rFonts w:ascii="Arial" w:cs="Arial" w:eastAsia="Arial" w:hAnsi="Arial"/>
          <w:sz w:val="20"/>
          <w:szCs w:val="20"/>
          <w:u w:val="single" w:color="auto"/>
          <w:color w:val="auto"/>
        </w:rPr>
        <w:t>Amendment</w:t>
      </w:r>
      <w:r>
        <w:rPr>
          <w:rFonts w:ascii="Arial" w:cs="Arial" w:eastAsia="Arial" w:hAnsi="Arial"/>
          <w:sz w:val="20"/>
          <w:szCs w:val="20"/>
          <w:color w:val="auto"/>
        </w:rPr>
        <w:t>”) is entered into effective as of May 7, 2021 (the “</w:t>
      </w:r>
      <w:r>
        <w:rPr>
          <w:rFonts w:ascii="Arial" w:cs="Arial" w:eastAsia="Arial" w:hAnsi="Arial"/>
          <w:sz w:val="20"/>
          <w:szCs w:val="20"/>
          <w:u w:val="single" w:color="auto"/>
          <w:color w:val="auto"/>
        </w:rPr>
        <w:t>First Amendment Effective Date</w:t>
      </w:r>
      <w:r>
        <w:rPr>
          <w:rFonts w:ascii="Arial" w:cs="Arial" w:eastAsia="Arial" w:hAnsi="Arial"/>
          <w:sz w:val="20"/>
          <w:szCs w:val="20"/>
          <w:color w:val="auto"/>
        </w:rPr>
        <w:t>”) among CALIFORNIA RESOURCES CORPORATION,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each other Credit Party party hereto, the Lenders party hereto and CITIBANK, N.A., as Administrative Agent.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WITNESSETH:</w:t>
      </w:r>
    </w:p>
    <w:p>
      <w:pPr>
        <w:spacing w:after="0" w:line="212" w:lineRule="exact"/>
        <w:rPr>
          <w:sz w:val="20"/>
          <w:szCs w:val="20"/>
          <w:color w:val="auto"/>
        </w:rPr>
      </w:pPr>
    </w:p>
    <w:p>
      <w:pPr>
        <w:jc w:val="both"/>
        <w:ind w:firstLine="640"/>
        <w:spacing w:after="0" w:line="260" w:lineRule="auto"/>
        <w:rPr>
          <w:sz w:val="20"/>
          <w:szCs w:val="20"/>
          <w:color w:val="auto"/>
        </w:rPr>
      </w:pPr>
      <w:r>
        <w:rPr>
          <w:rFonts w:ascii="Arial" w:cs="Arial" w:eastAsia="Arial" w:hAnsi="Arial"/>
          <w:sz w:val="19"/>
          <w:szCs w:val="19"/>
          <w:color w:val="auto"/>
        </w:rPr>
        <w:t>WHEREAS, the Borrower, the Administrative Agent and the Lenders party thereto from time to time are parties to that certain Credit Agreement, dated as of October 27, 2020, as amended by that certain Limited Waiver to Credit Agreement, dated as of January 13, 2021 and as amended by that certain Consent, dated as of February 19, 2021 (as amended, restated, amended and restated, supplemented or otherwise modified from time to time prior to the date hereof, the “</w:t>
      </w:r>
      <w:r>
        <w:rPr>
          <w:rFonts w:ascii="Arial" w:cs="Arial" w:eastAsia="Arial" w:hAnsi="Arial"/>
          <w:sz w:val="19"/>
          <w:szCs w:val="19"/>
          <w:u w:val="single" w:color="auto"/>
          <w:color w:val="auto"/>
        </w:rPr>
        <w:t>Existing Credit Agreement</w:t>
      </w:r>
      <w:r>
        <w:rPr>
          <w:rFonts w:ascii="Arial" w:cs="Arial" w:eastAsia="Arial" w:hAnsi="Arial"/>
          <w:sz w:val="19"/>
          <w:szCs w:val="19"/>
          <w:color w:val="auto"/>
        </w:rPr>
        <w:t>” and as amended by this Amendment,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unless otherwise defined herein, all capitalized terms used herein that are defined in the Credit Agreement shall have the meanings given such terms in the Credit Agreement); and</w:t>
      </w:r>
    </w:p>
    <w:p>
      <w:pPr>
        <w:spacing w:after="0" w:line="152" w:lineRule="exact"/>
        <w:rPr>
          <w:sz w:val="20"/>
          <w:szCs w:val="20"/>
          <w:color w:val="auto"/>
        </w:rPr>
      </w:pPr>
    </w:p>
    <w:p>
      <w:pPr>
        <w:jc w:val="both"/>
        <w:ind w:firstLine="640"/>
        <w:spacing w:after="0" w:line="278" w:lineRule="auto"/>
        <w:rPr>
          <w:sz w:val="20"/>
          <w:szCs w:val="20"/>
          <w:color w:val="auto"/>
        </w:rPr>
      </w:pPr>
      <w:r>
        <w:rPr>
          <w:rFonts w:ascii="Arial" w:cs="Arial" w:eastAsia="Arial" w:hAnsi="Arial"/>
          <w:sz w:val="19"/>
          <w:szCs w:val="19"/>
          <w:color w:val="auto"/>
        </w:rPr>
        <w:t>WHEREAS, the parties to this Amendment desire to enter into this Amendment to, among other things, (i) evidence the increase of the Borrowing Base to from $1,167,000,000.00 to $1,200,000,000.00, (ii) reduce the Aggregate Elected Commitment Amount from $540,000,000.00 to $492,274,081.43 and (iii) amend the Existing Credit Agreement, each as provided herein.</w:t>
      </w:r>
    </w:p>
    <w:p>
      <w:pPr>
        <w:spacing w:after="0" w:line="134" w:lineRule="exact"/>
        <w:rPr>
          <w:sz w:val="20"/>
          <w:szCs w:val="20"/>
          <w:color w:val="auto"/>
        </w:rPr>
      </w:pPr>
    </w:p>
    <w:p>
      <w:pPr>
        <w:jc w:val="both"/>
        <w:ind w:firstLine="640"/>
        <w:spacing w:after="0"/>
        <w:rPr>
          <w:sz w:val="20"/>
          <w:szCs w:val="20"/>
          <w:color w:val="auto"/>
        </w:rPr>
      </w:pPr>
      <w:r>
        <w:rPr>
          <w:rFonts w:ascii="Arial" w:cs="Arial" w:eastAsia="Arial" w:hAnsi="Arial"/>
          <w:sz w:val="21"/>
          <w:szCs w:val="21"/>
          <w:color w:val="auto"/>
        </w:rPr>
        <w:t>NOW THEREFORE, in consideration of the premises contained herein, and for good and valuable consideration, the receipt and sufficiency of which are hereby acknowledged, the parties hereto, intending to be legally bound, hereby agree as follows:</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b w:val="1"/>
          <w:bCs w:val="1"/>
          <w:u w:val="single" w:color="auto"/>
          <w:color w:val="auto"/>
        </w:rPr>
        <w:t>Amendments to Credit Agreement</w:t>
      </w:r>
      <w:r>
        <w:rPr>
          <w:rFonts w:ascii="Arial" w:cs="Arial" w:eastAsia="Arial" w:hAnsi="Arial"/>
          <w:sz w:val="23"/>
          <w:szCs w:val="23"/>
          <w:b w:val="1"/>
          <w:bCs w:val="1"/>
          <w:color w:val="auto"/>
        </w:rPr>
        <w:t>.</w:t>
      </w:r>
    </w:p>
    <w:p>
      <w:pPr>
        <w:spacing w:after="0" w:line="212" w:lineRule="exact"/>
        <w:rPr>
          <w:sz w:val="20"/>
          <w:szCs w:val="20"/>
          <w:color w:val="auto"/>
        </w:rPr>
      </w:pPr>
    </w:p>
    <w:p>
      <w:pPr>
        <w:jc w:val="both"/>
        <w:ind w:right="20" w:firstLine="640"/>
        <w:spacing w:after="0" w:line="307" w:lineRule="auto"/>
        <w:rPr>
          <w:sz w:val="20"/>
          <w:szCs w:val="20"/>
          <w:color w:val="auto"/>
        </w:rPr>
      </w:pPr>
      <w:r>
        <w:rPr>
          <w:rFonts w:ascii="Arial" w:cs="Arial" w:eastAsia="Arial" w:hAnsi="Arial"/>
          <w:sz w:val="19"/>
          <w:szCs w:val="19"/>
          <w:color w:val="auto"/>
        </w:rPr>
        <w:t xml:space="preserve">Subject to the satisfaction or waiver in writing of each of the conditions set forth in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below and in reliance upon the representations, warranties, covenants and agreements contained in this Amendment, the parties hereto hereby agree as follows:</w:t>
      </w:r>
    </w:p>
    <w:p>
      <w:pPr>
        <w:spacing w:after="0" w:line="107"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9"/>
          <w:szCs w:val="19"/>
          <w:color w:val="auto"/>
        </w:rPr>
        <w:t>Section 1.2 of the Credit Agreement is hereby amended as follows:</w:t>
      </w:r>
    </w:p>
    <w:p>
      <w:pPr>
        <w:spacing w:after="0" w:line="198" w:lineRule="exact"/>
        <w:rPr>
          <w:sz w:val="20"/>
          <w:szCs w:val="20"/>
          <w:color w:val="auto"/>
        </w:rPr>
      </w:pPr>
    </w:p>
    <w:p>
      <w:pPr>
        <w:ind w:left="1280"/>
        <w:spacing w:after="0"/>
        <w:tabs>
          <w:tab w:leader="none" w:pos="172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19"/>
          <w:szCs w:val="19"/>
          <w:color w:val="auto"/>
        </w:rPr>
        <w:t>By inserting the following defined terms in the appropriate alphabetical order:</w:t>
      </w:r>
    </w:p>
    <w:p>
      <w:pPr>
        <w:spacing w:after="0" w:line="212" w:lineRule="exact"/>
        <w:rPr>
          <w:sz w:val="20"/>
          <w:szCs w:val="20"/>
          <w:color w:val="auto"/>
        </w:rPr>
      </w:pPr>
    </w:p>
    <w:p>
      <w:pPr>
        <w:ind w:left="640" w:firstLine="640"/>
        <w:spacing w:after="0" w:line="25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Consent</w:t>
      </w:r>
      <w:r>
        <w:rPr>
          <w:rFonts w:ascii="Arial" w:cs="Arial" w:eastAsia="Arial" w:hAnsi="Arial"/>
          <w:sz w:val="21"/>
          <w:szCs w:val="21"/>
          <w:color w:val="auto"/>
        </w:rPr>
        <w:t>” shall mean the Consent Letter, dated as of February 19, 2021, by and among the Borrower, the other Credit Parties party thereto, the Lenders party thereto and the Agents.</w:t>
      </w:r>
    </w:p>
    <w:p>
      <w:pPr>
        <w:spacing w:after="0" w:line="180" w:lineRule="exact"/>
        <w:rPr>
          <w:sz w:val="20"/>
          <w:szCs w:val="20"/>
          <w:color w:val="auto"/>
        </w:rPr>
      </w:pPr>
    </w:p>
    <w:p>
      <w:pPr>
        <w:ind w:left="640" w:firstLine="640"/>
        <w:spacing w:after="0" w:line="25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First Amendment</w:t>
      </w:r>
      <w:r>
        <w:rPr>
          <w:rFonts w:ascii="Arial" w:cs="Arial" w:eastAsia="Arial" w:hAnsi="Arial"/>
          <w:sz w:val="21"/>
          <w:szCs w:val="21"/>
          <w:color w:val="auto"/>
        </w:rPr>
        <w:t>” shall mean the First Amendment to Credit Agreement, dated as of May 7, 2021, by and among the Borrower, the other Credit Parties party thereto, the Lenders party thereto and the Agents.</w:t>
      </w:r>
    </w:p>
    <w:p>
      <w:pPr>
        <w:spacing w:after="0" w:line="193"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First Amendment Effective Date</w:t>
      </w:r>
      <w:r>
        <w:rPr>
          <w:rFonts w:ascii="Arial" w:cs="Arial" w:eastAsia="Arial" w:hAnsi="Arial"/>
          <w:sz w:val="21"/>
          <w:szCs w:val="21"/>
          <w:color w:val="auto"/>
        </w:rPr>
        <w:t>” shall mean May 7, 2021.</w:t>
      </w:r>
    </w:p>
    <w:p>
      <w:pPr>
        <w:sectPr>
          <w:pgSz w:w="11900" w:h="16838" w:orient="portrait"/>
          <w:cols w:equalWidth="0" w:num="1">
            <w:col w:w="11240"/>
          </w:cols>
          <w:pgMar w:left="320" w:top="131" w:right="339" w:bottom="1440" w:gutter="0" w:footer="0" w:header="0"/>
        </w:sectPr>
      </w:pPr>
    </w:p>
    <w:bookmarkStart w:id="4" w:name="page5"/>
    <w:bookmarkEnd w:id="4"/>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Hedging Compliance Certificate</w:t>
      </w:r>
      <w:r>
        <w:rPr>
          <w:rFonts w:ascii="Arial" w:cs="Arial" w:eastAsia="Arial" w:hAnsi="Arial"/>
          <w:sz w:val="21"/>
          <w:szCs w:val="21"/>
          <w:color w:val="auto"/>
        </w:rPr>
        <w:t xml:space="preserve">” shall have the meaning provided in </w:t>
      </w:r>
      <w:r>
        <w:rPr>
          <w:rFonts w:ascii="Arial" w:cs="Arial" w:eastAsia="Arial" w:hAnsi="Arial"/>
          <w:sz w:val="21"/>
          <w:szCs w:val="21"/>
          <w:u w:val="single" w:color="auto"/>
          <w:color w:val="auto"/>
        </w:rPr>
        <w:t>Section 9.1(g)</w:t>
      </w:r>
      <w:r>
        <w:rPr>
          <w:rFonts w:ascii="Arial" w:cs="Arial" w:eastAsia="Arial" w:hAnsi="Arial"/>
          <w:sz w:val="21"/>
          <w:szCs w:val="21"/>
          <w:color w:val="auto"/>
        </w:rPr>
        <w:t>.</w:t>
      </w:r>
    </w:p>
    <w:p>
      <w:pPr>
        <w:spacing w:after="0" w:line="225" w:lineRule="exact"/>
        <w:rPr>
          <w:sz w:val="20"/>
          <w:szCs w:val="20"/>
          <w:color w:val="auto"/>
        </w:rPr>
      </w:pPr>
    </w:p>
    <w:p>
      <w:pPr>
        <w:ind w:firstLine="640"/>
        <w:spacing w:after="0" w:line="29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Limited Waiver</w:t>
      </w:r>
      <w:r>
        <w:rPr>
          <w:rFonts w:ascii="Arial" w:cs="Arial" w:eastAsia="Arial" w:hAnsi="Arial"/>
          <w:sz w:val="20"/>
          <w:szCs w:val="20"/>
          <w:color w:val="auto"/>
        </w:rPr>
        <w:t>” shall mean the Limited Waiver to Credit Agreement, dated as of January 13, 2021, by and among the Borrower, the other Credit Parties party thereto, the Lenders party thereto and the Administrative Agent.</w:t>
      </w:r>
    </w:p>
    <w:p>
      <w:pPr>
        <w:spacing w:after="0" w:line="170" w:lineRule="exact"/>
        <w:rPr>
          <w:sz w:val="20"/>
          <w:szCs w:val="20"/>
          <w:color w:val="auto"/>
        </w:rPr>
      </w:pPr>
    </w:p>
    <w:p>
      <w:pPr>
        <w:ind w:left="1280" w:hanging="634"/>
        <w:spacing w:after="0"/>
        <w:tabs>
          <w:tab w:leader="none" w:pos="1280" w:val="left"/>
        </w:tabs>
        <w:numPr>
          <w:ilvl w:val="0"/>
          <w:numId w:val="3"/>
        </w:numPr>
        <w:rPr>
          <w:rFonts w:ascii="Arial" w:cs="Arial" w:eastAsia="Arial" w:hAnsi="Arial"/>
          <w:sz w:val="21"/>
          <w:szCs w:val="21"/>
          <w:color w:val="auto"/>
        </w:rPr>
      </w:pPr>
      <w:r>
        <w:rPr>
          <w:rFonts w:ascii="Arial" w:cs="Arial" w:eastAsia="Arial" w:hAnsi="Arial"/>
          <w:sz w:val="21"/>
          <w:szCs w:val="21"/>
          <w:color w:val="auto"/>
        </w:rPr>
        <w:t>By amending the first paragraph of “Applicable Margin” to read in its entirety as follows:</w:t>
      </w:r>
    </w:p>
    <w:p>
      <w:pPr>
        <w:spacing w:after="0" w:line="198"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Margin</w:t>
      </w:r>
      <w:r>
        <w:rPr>
          <w:rFonts w:ascii="Arial" w:cs="Arial" w:eastAsia="Arial" w:hAnsi="Arial"/>
          <w:sz w:val="21"/>
          <w:szCs w:val="21"/>
          <w:color w:val="auto"/>
        </w:rPr>
        <w:t>” shall mean, for any day, with respect to any ABR Loan or LIBOR Loan, as the case may be, or the Commitment Fee Rate, the rate per annum set forth in the grid below based upon the Utilization Percentage in effect on such day:</w:t>
      </w:r>
    </w:p>
    <w:p>
      <w:pPr>
        <w:spacing w:after="0" w:line="183" w:lineRule="exact"/>
        <w:rPr>
          <w:sz w:val="20"/>
          <w:szCs w:val="20"/>
          <w:color w:val="auto"/>
        </w:rPr>
      </w:pPr>
    </w:p>
    <w:p>
      <w:pPr>
        <w:ind w:firstLine="646"/>
        <w:spacing w:after="0" w:line="268" w:lineRule="auto"/>
        <w:tabs>
          <w:tab w:leader="none" w:pos="1276" w:val="left"/>
        </w:tabs>
        <w:numPr>
          <w:ilvl w:val="0"/>
          <w:numId w:val="4"/>
        </w:numPr>
        <w:rPr>
          <w:rFonts w:ascii="Arial" w:cs="Arial" w:eastAsia="Arial" w:hAnsi="Arial"/>
          <w:sz w:val="21"/>
          <w:szCs w:val="21"/>
          <w:color w:val="auto"/>
        </w:rPr>
      </w:pPr>
      <w:r>
        <w:rPr>
          <w:rFonts w:ascii="Arial" w:cs="Arial" w:eastAsia="Arial" w:hAnsi="Arial"/>
          <w:sz w:val="21"/>
          <w:szCs w:val="21"/>
          <w:color w:val="auto"/>
        </w:rPr>
        <w:t>By amending the last sentence in the definition of “Acceptable Commodity Hedge Agreements” to read in its entirety as follows:</w:t>
      </w:r>
    </w:p>
    <w:p>
      <w:pPr>
        <w:spacing w:after="0" w:line="114"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20"/>
          <w:szCs w:val="20"/>
          <w:color w:val="auto"/>
        </w:rPr>
        <w:t>As used herein, “</w:t>
      </w:r>
      <w:r>
        <w:rPr>
          <w:rFonts w:ascii="Arial" w:cs="Arial" w:eastAsia="Arial" w:hAnsi="Arial"/>
          <w:sz w:val="20"/>
          <w:szCs w:val="20"/>
          <w:u w:val="single" w:color="auto"/>
          <w:color w:val="auto"/>
        </w:rPr>
        <w:t>Specified Volumes</w:t>
      </w:r>
      <w:r>
        <w:rPr>
          <w:rFonts w:ascii="Arial" w:cs="Arial" w:eastAsia="Arial" w:hAnsi="Arial"/>
          <w:sz w:val="20"/>
          <w:szCs w:val="20"/>
          <w:color w:val="auto"/>
        </w:rPr>
        <w:t xml:space="preserve">” means, with respect to any applicable period described in </w:t>
      </w:r>
      <w:r>
        <w:rPr>
          <w:rFonts w:ascii="Arial" w:cs="Arial" w:eastAsia="Arial" w:hAnsi="Arial"/>
          <w:sz w:val="20"/>
          <w:szCs w:val="20"/>
          <w:u w:val="single" w:color="auto"/>
          <w:color w:val="auto"/>
        </w:rPr>
        <w:t>Section 9.18</w:t>
      </w:r>
      <w:r>
        <w:rPr>
          <w:rFonts w:ascii="Arial" w:cs="Arial" w:eastAsia="Arial" w:hAnsi="Arial"/>
          <w:sz w:val="20"/>
          <w:szCs w:val="20"/>
          <w:color w:val="auto"/>
        </w:rPr>
        <w:t xml:space="preserve">, (i) if the Consolidated Total Net Leverage Ratio as of the last day of the most recently ended Test Period prior to the date of delivery of the applicable Hedging Compliance Certificate is greater than 2.00 to 1.00, 50% of the reasonably anticipated Hydrocarbon production in respect of crude oil from the Credit Parties’ total Proved Developed Producing Reserves (as forecast based upon the applicable Reserve Report described in </w:t>
      </w:r>
      <w:r>
        <w:rPr>
          <w:rFonts w:ascii="Arial" w:cs="Arial" w:eastAsia="Arial" w:hAnsi="Arial"/>
          <w:sz w:val="20"/>
          <w:szCs w:val="20"/>
          <w:u w:val="single" w:color="auto"/>
          <w:color w:val="auto"/>
        </w:rPr>
        <w:t>Section 9.18</w:t>
      </w:r>
      <w:r>
        <w:rPr>
          <w:rFonts w:ascii="Arial" w:cs="Arial" w:eastAsia="Arial" w:hAnsi="Arial"/>
          <w:sz w:val="20"/>
          <w:szCs w:val="20"/>
          <w:color w:val="auto"/>
        </w:rPr>
        <w:t xml:space="preserve">), calculated based on daily volumes on an annual basis or (ii) if the Consolidated Total Net Leverage Ratio as of the last day of the most recently ended Test Period prior to the date of delivery of the applicable Hedging Compliance Certificate is less than or equal to 2.00 to 1.00, 33% of the reasonably anticipated Hydrocarbon production in respect of crude oil from the Credit Parties’ total Proved Developed Producing Reserves (as forecast based upon the applicable Reserve Report described in </w:t>
      </w:r>
      <w:r>
        <w:rPr>
          <w:rFonts w:ascii="Arial" w:cs="Arial" w:eastAsia="Arial" w:hAnsi="Arial"/>
          <w:sz w:val="20"/>
          <w:szCs w:val="20"/>
          <w:u w:val="single" w:color="auto"/>
          <w:color w:val="auto"/>
        </w:rPr>
        <w:t>Section 9.18</w:t>
      </w:r>
      <w:r>
        <w:rPr>
          <w:rFonts w:ascii="Arial" w:cs="Arial" w:eastAsia="Arial" w:hAnsi="Arial"/>
          <w:sz w:val="20"/>
          <w:szCs w:val="20"/>
          <w:color w:val="auto"/>
        </w:rPr>
        <w:t>), calculated based on daily volumes on an annual basis.</w:t>
      </w:r>
    </w:p>
    <w:p>
      <w:pPr>
        <w:spacing w:after="0" w:line="169" w:lineRule="exact"/>
        <w:rPr>
          <w:sz w:val="20"/>
          <w:szCs w:val="20"/>
          <w:color w:val="auto"/>
        </w:rPr>
      </w:pPr>
    </w:p>
    <w:p>
      <w:pPr>
        <w:ind w:left="640" w:right="340" w:firstLine="6"/>
        <w:spacing w:after="0" w:line="443" w:lineRule="auto"/>
        <w:tabs>
          <w:tab w:leader="none" w:pos="1275" w:val="left"/>
        </w:tabs>
        <w:numPr>
          <w:ilvl w:val="0"/>
          <w:numId w:val="5"/>
        </w:numPr>
        <w:rPr>
          <w:rFonts w:ascii="Arial" w:cs="Arial" w:eastAsia="Arial" w:hAnsi="Arial"/>
          <w:sz w:val="21"/>
          <w:szCs w:val="21"/>
          <w:color w:val="auto"/>
        </w:rPr>
      </w:pPr>
      <w:r>
        <w:rPr>
          <w:rFonts w:ascii="Arial" w:cs="Arial" w:eastAsia="Arial" w:hAnsi="Arial"/>
          <w:sz w:val="21"/>
          <w:szCs w:val="21"/>
          <w:color w:val="auto"/>
        </w:rPr>
        <w:t>By amending the second sentence in the definition of “Borrowing Base” to read in its entirety as follows: As of the First Amendment Effective Date, the Borrowing Base shall be $1,200,000,000.</w:t>
      </w:r>
    </w:p>
    <w:p>
      <w:pPr>
        <w:spacing w:after="0" w:line="1" w:lineRule="exact"/>
        <w:rPr>
          <w:rFonts w:ascii="Arial" w:cs="Arial" w:eastAsia="Arial" w:hAnsi="Arial"/>
          <w:sz w:val="21"/>
          <w:szCs w:val="21"/>
          <w:color w:val="auto"/>
        </w:rPr>
      </w:pPr>
    </w:p>
    <w:p>
      <w:pPr>
        <w:ind w:left="1280" w:hanging="634"/>
        <w:spacing w:after="0"/>
        <w:tabs>
          <w:tab w:leader="none" w:pos="1280" w:val="left"/>
        </w:tabs>
        <w:numPr>
          <w:ilvl w:val="0"/>
          <w:numId w:val="5"/>
        </w:numPr>
        <w:rPr>
          <w:rFonts w:ascii="Arial" w:cs="Arial" w:eastAsia="Arial" w:hAnsi="Arial"/>
          <w:sz w:val="21"/>
          <w:szCs w:val="21"/>
          <w:color w:val="auto"/>
        </w:rPr>
      </w:pPr>
      <w:r>
        <w:rPr>
          <w:rFonts w:ascii="Arial" w:cs="Arial" w:eastAsia="Arial" w:hAnsi="Arial"/>
          <w:sz w:val="21"/>
          <w:szCs w:val="21"/>
          <w:color w:val="auto"/>
        </w:rPr>
        <w:t>By amending clause (e) of the definition of “Excess Cash” to read “[reserved] and”.</w:t>
      </w:r>
    </w:p>
    <w:p>
      <w:pPr>
        <w:spacing w:after="0" w:line="211" w:lineRule="exact"/>
        <w:rPr>
          <w:rFonts w:ascii="Arial" w:cs="Arial" w:eastAsia="Arial" w:hAnsi="Arial"/>
          <w:sz w:val="21"/>
          <w:szCs w:val="21"/>
          <w:color w:val="auto"/>
        </w:rPr>
      </w:pPr>
    </w:p>
    <w:p>
      <w:pPr>
        <w:ind w:left="1280" w:hanging="634"/>
        <w:spacing w:after="0"/>
        <w:tabs>
          <w:tab w:leader="none" w:pos="1280" w:val="left"/>
        </w:tabs>
        <w:numPr>
          <w:ilvl w:val="0"/>
          <w:numId w:val="5"/>
        </w:numPr>
        <w:rPr>
          <w:rFonts w:ascii="Arial" w:cs="Arial" w:eastAsia="Arial" w:hAnsi="Arial"/>
          <w:sz w:val="21"/>
          <w:szCs w:val="21"/>
          <w:color w:val="auto"/>
        </w:rPr>
      </w:pPr>
      <w:r>
        <w:rPr>
          <w:rFonts w:ascii="Arial" w:cs="Arial" w:eastAsia="Arial" w:hAnsi="Arial"/>
          <w:sz w:val="21"/>
          <w:szCs w:val="21"/>
          <w:color w:val="auto"/>
        </w:rPr>
        <w:t>By amending clause (g) of the definition of “Excluded Accounts” to read “[reserved]”.</w:t>
      </w:r>
    </w:p>
    <w:p>
      <w:pPr>
        <w:spacing w:after="0" w:line="198" w:lineRule="exact"/>
        <w:rPr>
          <w:rFonts w:ascii="Arial" w:cs="Arial" w:eastAsia="Arial" w:hAnsi="Arial"/>
          <w:sz w:val="21"/>
          <w:szCs w:val="21"/>
          <w:color w:val="auto"/>
        </w:rPr>
      </w:pPr>
    </w:p>
    <w:p>
      <w:pPr>
        <w:ind w:left="1280" w:hanging="634"/>
        <w:spacing w:after="0"/>
        <w:tabs>
          <w:tab w:leader="none" w:pos="1280" w:val="left"/>
        </w:tabs>
        <w:numPr>
          <w:ilvl w:val="0"/>
          <w:numId w:val="5"/>
        </w:numPr>
        <w:rPr>
          <w:rFonts w:ascii="Arial" w:cs="Arial" w:eastAsia="Arial" w:hAnsi="Arial"/>
          <w:sz w:val="21"/>
          <w:szCs w:val="21"/>
          <w:color w:val="auto"/>
        </w:rPr>
      </w:pPr>
      <w:r>
        <w:rPr>
          <w:rFonts w:ascii="Arial" w:cs="Arial" w:eastAsia="Arial" w:hAnsi="Arial"/>
          <w:sz w:val="21"/>
          <w:szCs w:val="21"/>
          <w:color w:val="auto"/>
        </w:rPr>
        <w:t>By amending clause (f) of the definition of “Excluded Equity Interests” to read “[reserved]”.</w:t>
      </w:r>
    </w:p>
    <w:p>
      <w:pPr>
        <w:spacing w:after="0" w:line="211" w:lineRule="exact"/>
        <w:rPr>
          <w:rFonts w:ascii="Arial" w:cs="Arial" w:eastAsia="Arial" w:hAnsi="Arial"/>
          <w:sz w:val="21"/>
          <w:szCs w:val="21"/>
          <w:color w:val="auto"/>
        </w:rPr>
      </w:pPr>
    </w:p>
    <w:p>
      <w:pPr>
        <w:ind w:left="1280" w:hanging="634"/>
        <w:spacing w:after="0"/>
        <w:tabs>
          <w:tab w:leader="none" w:pos="1280" w:val="left"/>
        </w:tabs>
        <w:numPr>
          <w:ilvl w:val="0"/>
          <w:numId w:val="5"/>
        </w:numPr>
        <w:rPr>
          <w:rFonts w:ascii="Arial" w:cs="Arial" w:eastAsia="Arial" w:hAnsi="Arial"/>
          <w:sz w:val="21"/>
          <w:szCs w:val="21"/>
          <w:color w:val="auto"/>
        </w:rPr>
      </w:pPr>
      <w:r>
        <w:rPr>
          <w:rFonts w:ascii="Arial" w:cs="Arial" w:eastAsia="Arial" w:hAnsi="Arial"/>
          <w:sz w:val="21"/>
          <w:szCs w:val="21"/>
          <w:color w:val="auto"/>
        </w:rPr>
        <w:t>By amending clause (d) of the definition of “Excluded Subsidiary” to read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0600"/>
          </w:cols>
          <w:pgMar w:left="960" w:top="1411" w:right="339" w:bottom="1440" w:gutter="0" w:footer="0" w:header="0"/>
        </w:sectPr>
      </w:pPr>
    </w:p>
    <w:bookmarkStart w:id="5" w:name="page6"/>
    <w:bookmarkEnd w:id="5"/>
    <w:p>
      <w:pPr>
        <w:ind w:right="20" w:firstLine="646"/>
        <w:spacing w:after="0" w:line="268" w:lineRule="auto"/>
        <w:tabs>
          <w:tab w:leader="none" w:pos="1267" w:val="left"/>
        </w:tabs>
        <w:numPr>
          <w:ilvl w:val="0"/>
          <w:numId w:val="6"/>
        </w:numPr>
        <w:rPr>
          <w:rFonts w:ascii="Arial" w:cs="Arial" w:eastAsia="Arial" w:hAnsi="Arial"/>
          <w:sz w:val="21"/>
          <w:szCs w:val="21"/>
          <w:color w:val="auto"/>
        </w:rPr>
      </w:pPr>
      <w:r>
        <w:rPr>
          <w:rFonts w:ascii="Arial" w:cs="Arial" w:eastAsia="Arial" w:hAnsi="Arial"/>
          <w:sz w:val="21"/>
          <w:szCs w:val="21"/>
          <w:color w:val="auto"/>
        </w:rPr>
        <w:t>By amending the definition of “Material Subsidiary” to delete the following language: “(other than the EHP Entities prior to the EHP Discharge Date)”.</w:t>
      </w:r>
    </w:p>
    <w:p>
      <w:pPr>
        <w:spacing w:after="0" w:line="153" w:lineRule="exact"/>
        <w:rPr>
          <w:rFonts w:ascii="Arial" w:cs="Arial" w:eastAsia="Arial" w:hAnsi="Arial"/>
          <w:sz w:val="21"/>
          <w:szCs w:val="21"/>
          <w:color w:val="auto"/>
        </w:rPr>
      </w:pPr>
    </w:p>
    <w:p>
      <w:pPr>
        <w:jc w:val="both"/>
        <w:ind w:firstLine="646"/>
        <w:spacing w:after="0" w:line="248" w:lineRule="auto"/>
        <w:tabs>
          <w:tab w:leader="none" w:pos="1267" w:val="left"/>
        </w:tabs>
        <w:numPr>
          <w:ilvl w:val="0"/>
          <w:numId w:val="6"/>
        </w:numPr>
        <w:rPr>
          <w:rFonts w:ascii="Arial" w:cs="Arial" w:eastAsia="Arial" w:hAnsi="Arial"/>
          <w:sz w:val="21"/>
          <w:szCs w:val="21"/>
          <w:color w:val="auto"/>
        </w:rPr>
      </w:pPr>
      <w:r>
        <w:rPr>
          <w:rFonts w:ascii="Arial" w:cs="Arial" w:eastAsia="Arial" w:hAnsi="Arial"/>
          <w:sz w:val="21"/>
          <w:szCs w:val="21"/>
          <w:color w:val="auto"/>
        </w:rPr>
        <w:t xml:space="preserve">By amending clause (G) of the definition of “Permitted Refinancing Indebtedness” to read, “(G) if the Refinanced Indebtedness is secured as permitted by </w:t>
      </w:r>
      <w:r>
        <w:rPr>
          <w:rFonts w:ascii="Arial" w:cs="Arial" w:eastAsia="Arial" w:hAnsi="Arial"/>
          <w:sz w:val="21"/>
          <w:szCs w:val="21"/>
          <w:u w:val="single" w:color="auto"/>
          <w:color w:val="auto"/>
        </w:rPr>
        <w:t>Section 10.2(f)</w:t>
      </w:r>
      <w:r>
        <w:rPr>
          <w:rFonts w:ascii="Arial" w:cs="Arial" w:eastAsia="Arial" w:hAnsi="Arial"/>
          <w:sz w:val="21"/>
          <w:szCs w:val="21"/>
          <w:color w:val="auto"/>
        </w:rPr>
        <w:t>, such Permitted Refinancing Indebtedness shall be unsecured, or if secured, subject to a Junior Lien Intercreditor Agreement and shall not be secured by any assets that do not secure such Refinanced Indebtedness”.</w:t>
      </w:r>
    </w:p>
    <w:p>
      <w:pPr>
        <w:spacing w:after="0" w:line="174" w:lineRule="exact"/>
        <w:rPr>
          <w:rFonts w:ascii="Arial" w:cs="Arial" w:eastAsia="Arial" w:hAnsi="Arial"/>
          <w:sz w:val="21"/>
          <w:szCs w:val="21"/>
          <w:color w:val="auto"/>
        </w:rPr>
      </w:pPr>
    </w:p>
    <w:p>
      <w:pPr>
        <w:ind w:left="1280" w:hanging="634"/>
        <w:spacing w:after="0"/>
        <w:tabs>
          <w:tab w:leader="none" w:pos="1280" w:val="left"/>
        </w:tabs>
        <w:numPr>
          <w:ilvl w:val="0"/>
          <w:numId w:val="6"/>
        </w:numPr>
        <w:rPr>
          <w:rFonts w:ascii="Arial" w:cs="Arial" w:eastAsia="Arial" w:hAnsi="Arial"/>
          <w:sz w:val="21"/>
          <w:szCs w:val="21"/>
          <w:color w:val="auto"/>
        </w:rPr>
      </w:pPr>
      <w:r>
        <w:rPr>
          <w:rFonts w:ascii="Arial" w:cs="Arial" w:eastAsia="Arial" w:hAnsi="Arial"/>
          <w:sz w:val="21"/>
          <w:szCs w:val="21"/>
          <w:color w:val="auto"/>
        </w:rPr>
        <w:t>By amending and restating the following definitions in their entirety as follows: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Budget</w:t>
      </w:r>
      <w:r>
        <w:rPr>
          <w:rFonts w:ascii="Arial" w:cs="Arial" w:eastAsia="Arial" w:hAnsi="Arial"/>
          <w:sz w:val="21"/>
          <w:szCs w:val="21"/>
          <w:color w:val="auto"/>
        </w:rPr>
        <w:t xml:space="preserve">” shall have the meaning provided in </w:t>
      </w:r>
      <w:r>
        <w:rPr>
          <w:rFonts w:ascii="Arial" w:cs="Arial" w:eastAsia="Arial" w:hAnsi="Arial"/>
          <w:sz w:val="21"/>
          <w:szCs w:val="21"/>
          <w:u w:val="single" w:color="auto"/>
          <w:color w:val="auto"/>
        </w:rPr>
        <w:t>Section 9.1(q)</w:t>
      </w:r>
      <w:r>
        <w:rPr>
          <w:rFonts w:ascii="Arial" w:cs="Arial" w:eastAsia="Arial" w:hAnsi="Arial"/>
          <w:sz w:val="21"/>
          <w:szCs w:val="21"/>
          <w:color w:val="auto"/>
        </w:rPr>
        <w:t>.</w:t>
      </w:r>
    </w:p>
    <w:p>
      <w:pPr>
        <w:spacing w:after="0" w:line="212"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Credit Documents</w:t>
      </w:r>
      <w:r>
        <w:rPr>
          <w:rFonts w:ascii="Arial" w:cs="Arial" w:eastAsia="Arial" w:hAnsi="Arial"/>
          <w:sz w:val="21"/>
          <w:szCs w:val="21"/>
          <w:color w:val="auto"/>
        </w:rPr>
        <w:t>” shall mean this Agreement, the Limited Waiver, the Consent, the First Amendment, the Guarantee, the Security Documents, each Letter of Credit and any Notes issued by the Borrower to a Lender under this Agreement.</w:t>
      </w:r>
    </w:p>
    <w:p>
      <w:pPr>
        <w:spacing w:after="0" w:line="169"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Distributable Free Cash Flow</w:t>
      </w:r>
      <w:r>
        <w:rPr>
          <w:rFonts w:ascii="Arial" w:cs="Arial" w:eastAsia="Arial" w:hAnsi="Arial"/>
          <w:sz w:val="20"/>
          <w:szCs w:val="20"/>
          <w:color w:val="auto"/>
        </w:rPr>
        <w:t xml:space="preserve">” shall mean, as of any time of determination, an amount equal to (a) Free Cash Flow as of the last day of the most recently ended Test Period for which financial statements have been delivered pursuant to clause (a) or (b) of </w:t>
      </w:r>
      <w:r>
        <w:rPr>
          <w:rFonts w:ascii="Arial" w:cs="Arial" w:eastAsia="Arial" w:hAnsi="Arial"/>
          <w:sz w:val="20"/>
          <w:szCs w:val="20"/>
          <w:u w:val="single" w:color="auto"/>
          <w:color w:val="auto"/>
        </w:rPr>
        <w:t>Section 9.1 minus</w:t>
      </w:r>
      <w:r>
        <w:rPr>
          <w:rFonts w:ascii="Arial" w:cs="Arial" w:eastAsia="Arial" w:hAnsi="Arial"/>
          <w:sz w:val="20"/>
          <w:szCs w:val="20"/>
          <w:color w:val="auto"/>
        </w:rPr>
        <w:t xml:space="preserve"> (b) the positive difference, if any, between (i) aggregate amount of the Free Cash Flow Utilizations that occur during such Test Period and through such time of determination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(ii) aggregate amount of Free Cash Flow Utilizations that occurred during such Test Period and which are attributable to Free Cash Flow generated during the four fiscal quarter period ending immediately prior to such Test Period (to the extent that such Free Cash Flow was generated on or after January 1, 2021). For the avoidance of doubt, any amount deducted in calculating Distributable Free Cash Flow as of any time of determination shall be without duplication of amounts deducted in calculating Free Cash Flow for purposes of such calculation of Distributable Free Cash Flow.</w:t>
      </w:r>
    </w:p>
    <w:p>
      <w:pPr>
        <w:spacing w:after="0" w:line="186"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Free Cash Flow</w:t>
      </w:r>
      <w:r>
        <w:rPr>
          <w:rFonts w:ascii="Arial" w:cs="Arial" w:eastAsia="Arial" w:hAnsi="Arial"/>
          <w:sz w:val="19"/>
          <w:szCs w:val="19"/>
          <w:color w:val="auto"/>
        </w:rPr>
        <w:t xml:space="preserve">” shall mean, for any Test Period, Consolidated EBITDAX of the Borrower and its Restricted Subsidiaries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the increase (or plus the decrease) in non-cash Working Capital (without duplication of any working capital changes already considered elsewhere and excluding the Available Commitment from the calculation of Consolidated Current Assets) from the previous Test Period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the sum, in each case without duplication, of the following amounts in respect of the Borrower and its Restricted Subsidiaries for such period: (a) voluntary and scheduled cash prepayments and repayments of Indebtedness (other than the Loans) which cannot be reborrowed pursuant to the terms of such Indebtedness (other than any repayments of Other Debt and other transactions contemplated by </w:t>
      </w:r>
      <w:r>
        <w:rPr>
          <w:rFonts w:ascii="Arial" w:cs="Arial" w:eastAsia="Arial" w:hAnsi="Arial"/>
          <w:sz w:val="19"/>
          <w:szCs w:val="19"/>
          <w:u w:val="single" w:color="auto"/>
          <w:color w:val="auto"/>
        </w:rPr>
        <w:t>Section 10.7(a)</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(b) cash paid for capital expenditures, (c)(i) cash payments for amounts described in clauses (i) and (ii) of the definition of Consolidated Interest Expense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amounts described in clause (iii) of the definition of Consolidated Interest Expense, (d) income and franchise taxes paid in cash, (e) exploration expenses paid in cash, (f)(i) Investments made in cash during such period (other than those made in reliance on </w:t>
      </w:r>
      <w:r>
        <w:rPr>
          <w:rFonts w:ascii="Arial" w:cs="Arial" w:eastAsia="Arial" w:hAnsi="Arial"/>
          <w:sz w:val="19"/>
          <w:szCs w:val="19"/>
          <w:u w:val="single" w:color="auto"/>
          <w:color w:val="auto"/>
        </w:rPr>
        <w:t>Section 10.5(i)</w:t>
      </w:r>
      <w:r>
        <w:rPr>
          <w:rFonts w:ascii="Arial" w:cs="Arial" w:eastAsia="Arial" w:hAnsi="Arial"/>
          <w:sz w:val="19"/>
          <w:szCs w:val="19"/>
          <w:color w:val="auto"/>
        </w:rPr>
        <w:t xml:space="preserve">) and (ii) Restricted Payments made in cash during such period (other than those made in reliance on </w:t>
      </w:r>
      <w:r>
        <w:rPr>
          <w:rFonts w:ascii="Arial" w:cs="Arial" w:eastAsia="Arial" w:hAnsi="Arial"/>
          <w:sz w:val="19"/>
          <w:szCs w:val="19"/>
          <w:u w:val="single" w:color="auto"/>
          <w:color w:val="auto"/>
        </w:rPr>
        <w:t>Section 10.6(i)</w:t>
      </w:r>
      <w:r>
        <w:rPr>
          <w:rFonts w:ascii="Arial" w:cs="Arial" w:eastAsia="Arial" w:hAnsi="Arial"/>
          <w:sz w:val="19"/>
          <w:szCs w:val="19"/>
          <w:color w:val="auto"/>
        </w:rPr>
        <w:t>), (g)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0600"/>
          </w:cols>
          <w:pgMar w:left="960" w:top="1397" w:right="339" w:bottom="1440" w:gutter="0" w:footer="0" w:header="0"/>
        </w:sectPr>
      </w:pPr>
    </w:p>
    <w:bookmarkStart w:id="6" w:name="page7"/>
    <w:bookmarkEnd w:id="6"/>
    <w:p>
      <w:pPr>
        <w:jc w:val="both"/>
        <w:ind w:left="420"/>
        <w:spacing w:after="0" w:line="273" w:lineRule="auto"/>
        <w:rPr>
          <w:sz w:val="20"/>
          <w:szCs w:val="20"/>
          <w:color w:val="auto"/>
        </w:rPr>
      </w:pPr>
      <w:r>
        <w:rPr>
          <w:rFonts w:ascii="Arial" w:cs="Arial" w:eastAsia="Arial" w:hAnsi="Arial"/>
          <w:sz w:val="19"/>
          <w:szCs w:val="19"/>
          <w:color w:val="auto"/>
        </w:rPr>
        <w:t xml:space="preserve">[reserved] and (h) to the extent not included in the foregoing and added back in the calculation of Consolidated EBITDAX, any other cash charge that reduces the earnings of the Borrower and its Restricted Subsidiaries, except (i) in the case of each of the forgoing clauses in this definition, to the extent financed with proceeds of any Qualified Equity Interests (excluding any Cure Amount) and (ii) in the case of the foregoing clauses (a), (b), (e), and (f)(i) (except to the extent made in reliance on </w:t>
      </w:r>
      <w:r>
        <w:rPr>
          <w:rFonts w:ascii="Arial" w:cs="Arial" w:eastAsia="Arial" w:hAnsi="Arial"/>
          <w:sz w:val="19"/>
          <w:szCs w:val="19"/>
          <w:u w:val="single" w:color="auto"/>
          <w:color w:val="auto"/>
        </w:rPr>
        <w:t>Section 10.5(k)</w:t>
      </w:r>
      <w:r>
        <w:rPr>
          <w:rFonts w:ascii="Arial" w:cs="Arial" w:eastAsia="Arial" w:hAnsi="Arial"/>
          <w:sz w:val="19"/>
          <w:szCs w:val="19"/>
          <w:color w:val="auto"/>
        </w:rPr>
        <w:t xml:space="preserve">), to the extent financed with long term Indebtedness permitted in the Credit Documents (other than the Loans),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aggregate Net Cash Proceeds from Dispositions not required to be applied to repay the Loans under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so long as no Loans are outstanding at the time of determination of “Free Cash Flow”.</w:t>
      </w:r>
    </w:p>
    <w:p>
      <w:pPr>
        <w:spacing w:after="0" w:line="153" w:lineRule="exact"/>
        <w:rPr>
          <w:sz w:val="20"/>
          <w:szCs w:val="20"/>
          <w:color w:val="auto"/>
        </w:rPr>
      </w:pPr>
    </w:p>
    <w:p>
      <w:pPr>
        <w:jc w:val="both"/>
        <w:ind w:left="420" w:firstLine="640"/>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Indebtedness</w:t>
      </w:r>
      <w:r>
        <w:rPr>
          <w:rFonts w:ascii="Arial" w:cs="Arial" w:eastAsia="Arial" w:hAnsi="Arial"/>
          <w:sz w:val="21"/>
          <w:szCs w:val="21"/>
          <w:color w:val="auto"/>
        </w:rPr>
        <w:t>” shall mean any Indebtedness (other than Loans and Letters of Credit) of any one or more of the Borrower or any Restricted Subsidiary in an aggregate principal amount exceeding $50,000,000.</w:t>
      </w:r>
    </w:p>
    <w:p>
      <w:pPr>
        <w:spacing w:after="0" w:line="154" w:lineRule="exact"/>
        <w:rPr>
          <w:sz w:val="20"/>
          <w:szCs w:val="20"/>
          <w:color w:val="auto"/>
        </w:rPr>
      </w:pPr>
    </w:p>
    <w:p>
      <w:pPr>
        <w:jc w:val="both"/>
        <w:ind w:left="420" w:firstLine="640"/>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Payment Conditions</w:t>
      </w:r>
      <w:r>
        <w:rPr>
          <w:rFonts w:ascii="Arial" w:cs="Arial" w:eastAsia="Arial" w:hAnsi="Arial"/>
          <w:sz w:val="21"/>
          <w:szCs w:val="21"/>
          <w:color w:val="auto"/>
        </w:rPr>
        <w:t xml:space="preserve">” shall mean as of any date of determination, on a </w:t>
      </w:r>
      <w:r>
        <w:rPr>
          <w:rFonts w:ascii="Arial" w:cs="Arial" w:eastAsia="Arial" w:hAnsi="Arial"/>
          <w:sz w:val="21"/>
          <w:szCs w:val="21"/>
          <w:i w:val="1"/>
          <w:iCs w:val="1"/>
          <w:color w:val="auto"/>
        </w:rPr>
        <w:t>pro forma</w:t>
      </w:r>
      <w:r>
        <w:rPr>
          <w:rFonts w:ascii="Arial" w:cs="Arial" w:eastAsia="Arial" w:hAnsi="Arial"/>
          <w:sz w:val="21"/>
          <w:szCs w:val="21"/>
          <w:color w:val="auto"/>
        </w:rPr>
        <w:t xml:space="preserve"> basis for the transaction with respect to which the Restricted Payment Conditions are being evaluated, (a) no Default, Event of Default or Borrowing Base Deficiency shall have occurred and be continuing, (b) the Available Commitment is not less than 20.0% of the Total Commitment, (c) the Consolidated Total Net Leverage Ratio is less than or equal to 2.50 to 1.00 and (d) Distributable Free Cash Flow is greater than or equal to zero on such date of determination.</w:t>
      </w:r>
    </w:p>
    <w:p>
      <w:pPr>
        <w:spacing w:after="0" w:line="180" w:lineRule="exact"/>
        <w:rPr>
          <w:sz w:val="20"/>
          <w:szCs w:val="20"/>
          <w:color w:val="auto"/>
        </w:rPr>
      </w:pPr>
    </w:p>
    <w:p>
      <w:pPr>
        <w:jc w:val="both"/>
        <w:ind w:left="420" w:firstLine="646"/>
        <w:spacing w:after="0" w:line="253" w:lineRule="auto"/>
        <w:tabs>
          <w:tab w:leader="none" w:pos="1604" w:val="left"/>
        </w:tabs>
        <w:numPr>
          <w:ilvl w:val="0"/>
          <w:numId w:val="7"/>
        </w:numPr>
        <w:rPr>
          <w:rFonts w:ascii="Arial" w:cs="Arial" w:eastAsia="Arial" w:hAnsi="Arial"/>
          <w:sz w:val="21"/>
          <w:szCs w:val="21"/>
          <w:color w:val="auto"/>
        </w:rPr>
      </w:pPr>
      <w:r>
        <w:rPr>
          <w:rFonts w:ascii="Arial" w:cs="Arial" w:eastAsia="Arial" w:hAnsi="Arial"/>
          <w:sz w:val="21"/>
          <w:szCs w:val="21"/>
          <w:color w:val="auto"/>
        </w:rPr>
        <w:t>By deleting the definitions of “EHP Easement”, “EHP Ground Lease”, “EHP LTS Ground Lease”, “EHP Support Agreement”, “Junior Capital Transaction”, “Permitted EHP Payments”, “Specified Quarter” and “Successful Syndication”.</w:t>
      </w:r>
    </w:p>
    <w:p>
      <w:pPr>
        <w:spacing w:after="0" w:line="169"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9"/>
          <w:szCs w:val="19"/>
          <w:color w:val="auto"/>
        </w:rPr>
        <w:t>Section 2.14(j) of the Credit Agreement shall be deleted in its entirety.</w:t>
      </w:r>
    </w:p>
    <w:p>
      <w:pPr>
        <w:spacing w:after="0" w:line="212"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9"/>
          <w:szCs w:val="19"/>
          <w:color w:val="auto"/>
        </w:rPr>
        <w:t>Section 2.16(c)(ii)(H) of the Credit Agreement shall be deleted in its entirety.</w:t>
      </w:r>
    </w:p>
    <w:p>
      <w:pPr>
        <w:spacing w:after="0" w:line="212"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21"/>
          <w:szCs w:val="21"/>
          <w:color w:val="auto"/>
        </w:rPr>
        <w:t>1.4</w:t>
      </w:r>
      <w:r>
        <w:rPr>
          <w:sz w:val="20"/>
          <w:szCs w:val="20"/>
          <w:color w:val="auto"/>
        </w:rPr>
        <w:tab/>
      </w:r>
      <w:r>
        <w:rPr>
          <w:rFonts w:ascii="Arial" w:cs="Arial" w:eastAsia="Arial" w:hAnsi="Arial"/>
          <w:sz w:val="19"/>
          <w:szCs w:val="19"/>
          <w:color w:val="auto"/>
        </w:rPr>
        <w:t>Section 5.2(f) of the Credit Agreement shall be deleted in its entirety.</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21"/>
          <w:szCs w:val="21"/>
          <w:color w:val="auto"/>
        </w:rPr>
        <w:t>1.5</w:t>
      </w:r>
      <w:r>
        <w:rPr>
          <w:sz w:val="20"/>
          <w:szCs w:val="20"/>
          <w:color w:val="auto"/>
        </w:rPr>
        <w:tab/>
      </w:r>
      <w:r>
        <w:rPr>
          <w:rFonts w:ascii="Arial" w:cs="Arial" w:eastAsia="Arial" w:hAnsi="Arial"/>
          <w:sz w:val="19"/>
          <w:szCs w:val="19"/>
          <w:color w:val="auto"/>
        </w:rPr>
        <w:t>Section 9.1(c)(iii) of the Credit Agreement shall be amended and restated to read in its entirety as follows:</w:t>
      </w:r>
    </w:p>
    <w:p>
      <w:pPr>
        <w:spacing w:after="0" w:line="212" w:lineRule="exact"/>
        <w:rPr>
          <w:sz w:val="20"/>
          <w:szCs w:val="20"/>
          <w:color w:val="auto"/>
        </w:rPr>
      </w:pPr>
    </w:p>
    <w:p>
      <w:pPr>
        <w:ind w:left="420" w:firstLine="1925"/>
        <w:spacing w:after="0" w:line="268" w:lineRule="auto"/>
        <w:tabs>
          <w:tab w:leader="none" w:pos="2757" w:val="left"/>
        </w:tabs>
        <w:numPr>
          <w:ilvl w:val="0"/>
          <w:numId w:val="8"/>
        </w:numPr>
        <w:rPr>
          <w:rFonts w:ascii="Arial" w:cs="Arial" w:eastAsia="Arial" w:hAnsi="Arial"/>
          <w:sz w:val="21"/>
          <w:szCs w:val="21"/>
          <w:color w:val="auto"/>
        </w:rPr>
      </w:pPr>
      <w:r>
        <w:rPr>
          <w:rFonts w:ascii="Arial" w:cs="Arial" w:eastAsia="Arial" w:hAnsi="Arial"/>
          <w:sz w:val="21"/>
          <w:szCs w:val="21"/>
          <w:color w:val="auto"/>
        </w:rPr>
        <w:t>a calculation of Distributable Free Cash Flow for the applicable Test Period, including the components thereof in reasonable detail acceptable to the Administrative Agent;</w:t>
      </w:r>
    </w:p>
    <w:p>
      <w:pPr>
        <w:spacing w:after="0" w:line="154" w:lineRule="exact"/>
        <w:rPr>
          <w:sz w:val="20"/>
          <w:szCs w:val="20"/>
          <w:color w:val="auto"/>
        </w:rPr>
      </w:pPr>
    </w:p>
    <w:p>
      <w:pPr>
        <w:spacing w:after="0"/>
        <w:tabs>
          <w:tab w:leader="none" w:pos="460" w:val="left"/>
        </w:tabs>
        <w:rPr>
          <w:sz w:val="20"/>
          <w:szCs w:val="20"/>
          <w:color w:val="auto"/>
        </w:rPr>
      </w:pPr>
      <w:r>
        <w:rPr>
          <w:rFonts w:ascii="Arial" w:cs="Arial" w:eastAsia="Arial" w:hAnsi="Arial"/>
          <w:sz w:val="21"/>
          <w:szCs w:val="21"/>
          <w:color w:val="auto"/>
        </w:rPr>
        <w:t>1.6</w:t>
      </w:r>
      <w:r>
        <w:rPr>
          <w:sz w:val="20"/>
          <w:szCs w:val="20"/>
          <w:color w:val="auto"/>
        </w:rPr>
        <w:tab/>
      </w:r>
      <w:r>
        <w:rPr>
          <w:rFonts w:ascii="Arial" w:cs="Arial" w:eastAsia="Arial" w:hAnsi="Arial"/>
          <w:sz w:val="19"/>
          <w:szCs w:val="19"/>
          <w:color w:val="auto"/>
        </w:rPr>
        <w:t>Section 9.1(g) of the Credit Agreement shall be amended and restated to read in its entirety as follows:</w:t>
      </w:r>
    </w:p>
    <w:p>
      <w:pPr>
        <w:spacing w:after="0" w:line="212" w:lineRule="exact"/>
        <w:rPr>
          <w:sz w:val="20"/>
          <w:szCs w:val="20"/>
          <w:color w:val="auto"/>
        </w:rPr>
      </w:pPr>
    </w:p>
    <w:p>
      <w:pPr>
        <w:jc w:val="both"/>
        <w:ind w:left="420" w:firstLine="646"/>
        <w:spacing w:after="0" w:line="270" w:lineRule="auto"/>
        <w:tabs>
          <w:tab w:leader="none" w:pos="1548" w:val="left"/>
        </w:tabs>
        <w:numPr>
          <w:ilvl w:val="1"/>
          <w:numId w:val="9"/>
        </w:numPr>
        <w:rPr>
          <w:rFonts w:ascii="Arial" w:cs="Arial" w:eastAsia="Arial" w:hAnsi="Arial"/>
          <w:sz w:val="19"/>
          <w:szCs w:val="19"/>
          <w:color w:val="auto"/>
        </w:rPr>
      </w:pPr>
      <w:r>
        <w:rPr>
          <w:rFonts w:ascii="Arial" w:cs="Arial" w:eastAsia="Arial" w:hAnsi="Arial"/>
          <w:sz w:val="19"/>
          <w:szCs w:val="19"/>
          <w:u w:val="single" w:color="auto"/>
          <w:color w:val="auto"/>
        </w:rPr>
        <w:t>Certificate of Authorized Officer – Hedge Agreements</w:t>
      </w:r>
      <w:r>
        <w:rPr>
          <w:rFonts w:ascii="Arial" w:cs="Arial" w:eastAsia="Arial" w:hAnsi="Arial"/>
          <w:sz w:val="19"/>
          <w:szCs w:val="19"/>
          <w:color w:val="auto"/>
        </w:rPr>
        <w:t xml:space="preserve">. On the date of delivery of (x) the financial statements provided for in </w:t>
      </w:r>
      <w:r>
        <w:rPr>
          <w:rFonts w:ascii="Arial" w:cs="Arial" w:eastAsia="Arial" w:hAnsi="Arial"/>
          <w:sz w:val="19"/>
          <w:szCs w:val="19"/>
          <w:u w:val="single" w:color="auto"/>
          <w:color w:val="auto"/>
        </w:rPr>
        <w:t>Section 9.1(a)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9.1(b)</w:t>
      </w:r>
      <w:r>
        <w:rPr>
          <w:rFonts w:ascii="Arial" w:cs="Arial" w:eastAsia="Arial" w:hAnsi="Arial"/>
          <w:sz w:val="19"/>
          <w:szCs w:val="19"/>
          <w:color w:val="auto"/>
        </w:rPr>
        <w:t xml:space="preserve"> and (y) each Reserve Report delivered in connection with an Interim Redetermination, a certificate of an Authorized Officer of the Borrower (a “</w:t>
      </w:r>
      <w:r>
        <w:rPr>
          <w:rFonts w:ascii="Arial" w:cs="Arial" w:eastAsia="Arial" w:hAnsi="Arial"/>
          <w:sz w:val="19"/>
          <w:szCs w:val="19"/>
          <w:u w:val="single" w:color="auto"/>
          <w:color w:val="auto"/>
        </w:rPr>
        <w:t>Hedging Compliance Certificate</w:t>
      </w:r>
      <w:r>
        <w:rPr>
          <w:rFonts w:ascii="Arial" w:cs="Arial" w:eastAsia="Arial" w:hAnsi="Arial"/>
          <w:sz w:val="19"/>
          <w:szCs w:val="19"/>
          <w:color w:val="auto"/>
        </w:rPr>
        <w:t>”), setting forth</w:t>
      </w:r>
    </w:p>
    <w:p>
      <w:pPr>
        <w:ind w:left="680" w:hanging="254"/>
        <w:spacing w:after="0"/>
        <w:tabs>
          <w:tab w:leader="none" w:pos="6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calculations required to establish whether the Borrower and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6287770</wp:posOffset>
            </wp:positionH>
            <wp:positionV relativeFrom="paragraph">
              <wp:posOffset>-175895</wp:posOffset>
            </wp:positionV>
            <wp:extent cx="42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20"/>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020"/>
          </w:cols>
          <w:pgMar w:left="540" w:top="1411" w:right="339" w:bottom="1440" w:gutter="0" w:footer="0" w:header="0"/>
        </w:sectPr>
      </w:pPr>
    </w:p>
    <w:bookmarkStart w:id="7" w:name="page8"/>
    <w:bookmarkEnd w:id="7"/>
    <w:p>
      <w:pPr>
        <w:jc w:val="both"/>
        <w:ind w:left="640"/>
        <w:spacing w:after="0" w:line="255" w:lineRule="auto"/>
        <w:rPr>
          <w:sz w:val="20"/>
          <w:szCs w:val="20"/>
          <w:color w:val="auto"/>
        </w:rPr>
      </w:pPr>
      <w:r>
        <w:rPr>
          <w:rFonts w:ascii="Arial" w:cs="Arial" w:eastAsia="Arial" w:hAnsi="Arial"/>
          <w:sz w:val="20"/>
          <w:szCs w:val="20"/>
          <w:color w:val="auto"/>
        </w:rPr>
        <w:t xml:space="preserve">Restricted Subsidiaries were in compliance with </w:t>
      </w:r>
      <w:r>
        <w:rPr>
          <w:rFonts w:ascii="Arial" w:cs="Arial" w:eastAsia="Arial" w:hAnsi="Arial"/>
          <w:sz w:val="20"/>
          <w:szCs w:val="20"/>
          <w:u w:val="single" w:color="auto"/>
          <w:color w:val="auto"/>
        </w:rPr>
        <w:t>Section 9.18</w:t>
      </w:r>
      <w:r>
        <w:rPr>
          <w:rFonts w:ascii="Arial" w:cs="Arial" w:eastAsia="Arial" w:hAnsi="Arial"/>
          <w:sz w:val="20"/>
          <w:szCs w:val="20"/>
          <w:color w:val="auto"/>
        </w:rPr>
        <w:t xml:space="preserve"> as of such date and (ii) a true and complete list of all commodity Hedge Agreements of the Borrower and each Credit Party, the material terms thereof (in respect of the type, term, effective date, termination date and notional amounts or volumes), any credit support agreements relating thereto not listed on </w:t>
      </w:r>
      <w:r>
        <w:rPr>
          <w:rFonts w:ascii="Arial" w:cs="Arial" w:eastAsia="Arial" w:hAnsi="Arial"/>
          <w:sz w:val="20"/>
          <w:szCs w:val="20"/>
          <w:u w:val="single" w:color="auto"/>
          <w:color w:val="auto"/>
        </w:rPr>
        <w:t>Schedule 8.21</w:t>
      </w:r>
      <w:r>
        <w:rPr>
          <w:rFonts w:ascii="Arial" w:cs="Arial" w:eastAsia="Arial" w:hAnsi="Arial"/>
          <w:sz w:val="20"/>
          <w:szCs w:val="20"/>
          <w:color w:val="auto"/>
        </w:rPr>
        <w:t xml:space="preserve"> or on any previously delivered Hedging Compliance Certificate and any margin required or supplied under any credit support document;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the event that the Borrower and its Restricted Subsidiaries are not in compliance with </w:t>
      </w:r>
      <w:r>
        <w:rPr>
          <w:rFonts w:ascii="Arial" w:cs="Arial" w:eastAsia="Arial" w:hAnsi="Arial"/>
          <w:sz w:val="20"/>
          <w:szCs w:val="20"/>
          <w:u w:val="single" w:color="auto"/>
          <w:color w:val="auto"/>
        </w:rPr>
        <w:t>Section 9.18</w:t>
      </w:r>
      <w:r>
        <w:rPr>
          <w:rFonts w:ascii="Arial" w:cs="Arial" w:eastAsia="Arial" w:hAnsi="Arial"/>
          <w:sz w:val="20"/>
          <w:szCs w:val="20"/>
          <w:color w:val="auto"/>
        </w:rPr>
        <w:t xml:space="preserve"> on the date on which delivery of any Hedging Compliance Certificate would otherwise be required pursuant to this </w:t>
      </w:r>
      <w:r>
        <w:rPr>
          <w:rFonts w:ascii="Arial" w:cs="Arial" w:eastAsia="Arial" w:hAnsi="Arial"/>
          <w:sz w:val="20"/>
          <w:szCs w:val="20"/>
          <w:u w:val="single" w:color="auto"/>
          <w:color w:val="auto"/>
        </w:rPr>
        <w:t>Section 9.1(g)</w:t>
      </w:r>
      <w:r>
        <w:rPr>
          <w:rFonts w:ascii="Arial" w:cs="Arial" w:eastAsia="Arial" w:hAnsi="Arial"/>
          <w:sz w:val="20"/>
          <w:szCs w:val="20"/>
          <w:color w:val="auto"/>
        </w:rPr>
        <w:t xml:space="preserve">, (A) such non-compliance shall not constitute a Default and (B) the Borrower shall furnish to the Administrative Agent such Hedging Compliance Certificate demonstrating compliance with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9.18</w:t>
      </w:r>
      <w:r>
        <w:rPr>
          <w:rFonts w:ascii="Arial" w:cs="Arial" w:eastAsia="Arial" w:hAnsi="Arial"/>
          <w:sz w:val="20"/>
          <w:szCs w:val="20"/>
          <w:color w:val="auto"/>
        </w:rPr>
        <w:t xml:space="preserve"> within ten (10) days following such date.</w:t>
      </w:r>
    </w:p>
    <w:p>
      <w:pPr>
        <w:spacing w:after="0" w:line="173" w:lineRule="exact"/>
        <w:rPr>
          <w:sz w:val="20"/>
          <w:szCs w:val="20"/>
          <w:color w:val="auto"/>
        </w:rPr>
      </w:pPr>
    </w:p>
    <w:p>
      <w:pPr>
        <w:jc w:val="both"/>
        <w:ind w:firstLine="234"/>
        <w:spacing w:after="0" w:line="253" w:lineRule="auto"/>
        <w:rPr>
          <w:sz w:val="20"/>
          <w:szCs w:val="20"/>
          <w:color w:val="auto"/>
        </w:rPr>
      </w:pPr>
      <w:r>
        <w:rPr>
          <w:rFonts w:ascii="Arial" w:cs="Arial" w:eastAsia="Arial" w:hAnsi="Arial"/>
          <w:sz w:val="21"/>
          <w:szCs w:val="21"/>
          <w:color w:val="auto"/>
        </w:rPr>
        <w:t>1.7 Section 9.11(a) of the Credit Agreement is hereby amended to (a) delete the following language: “(other than with respect to clause (D) below)”, (b) insert the following language immediately prior to clause (C) therein: “ and” and (c) delete clause (D) in its entirety.</w:t>
      </w:r>
    </w:p>
    <w:p>
      <w:pPr>
        <w:spacing w:after="0" w:line="169" w:lineRule="exact"/>
        <w:rPr>
          <w:sz w:val="20"/>
          <w:szCs w:val="20"/>
          <w:color w:val="auto"/>
        </w:rPr>
      </w:pPr>
    </w:p>
    <w:p>
      <w:pPr>
        <w:ind w:right="200" w:firstLine="213"/>
        <w:spacing w:after="0" w:line="268" w:lineRule="auto"/>
        <w:rPr>
          <w:sz w:val="20"/>
          <w:szCs w:val="20"/>
          <w:color w:val="auto"/>
        </w:rPr>
      </w:pPr>
      <w:r>
        <w:rPr>
          <w:rFonts w:ascii="Arial" w:cs="Arial" w:eastAsia="Arial" w:hAnsi="Arial"/>
          <w:sz w:val="21"/>
          <w:szCs w:val="21"/>
          <w:color w:val="auto"/>
        </w:rPr>
        <w:t>1.8 Section 9.11(c) of the Credit Agreement is hereby amended to delete the following language: “and the EHP Entities prior to the EHP Discharge Date”.</w:t>
      </w:r>
    </w:p>
    <w:p>
      <w:pPr>
        <w:spacing w:after="0" w:line="154" w:lineRule="exact"/>
        <w:rPr>
          <w:sz w:val="20"/>
          <w:szCs w:val="20"/>
          <w:color w:val="auto"/>
        </w:rPr>
      </w:pPr>
    </w:p>
    <w:p>
      <w:pPr>
        <w:ind w:left="860"/>
        <w:spacing w:after="0"/>
        <w:tabs>
          <w:tab w:leader="none" w:pos="1320" w:val="left"/>
        </w:tabs>
        <w:rPr>
          <w:sz w:val="20"/>
          <w:szCs w:val="20"/>
          <w:color w:val="auto"/>
        </w:rPr>
      </w:pPr>
      <w:r>
        <w:rPr>
          <w:rFonts w:ascii="Arial" w:cs="Arial" w:eastAsia="Arial" w:hAnsi="Arial"/>
          <w:sz w:val="21"/>
          <w:szCs w:val="21"/>
          <w:color w:val="auto"/>
        </w:rPr>
        <w:t>1.9</w:t>
      </w:r>
      <w:r>
        <w:rPr>
          <w:sz w:val="20"/>
          <w:szCs w:val="20"/>
          <w:color w:val="auto"/>
        </w:rPr>
        <w:tab/>
      </w:r>
      <w:r>
        <w:rPr>
          <w:rFonts w:ascii="Arial" w:cs="Arial" w:eastAsia="Arial" w:hAnsi="Arial"/>
          <w:sz w:val="19"/>
          <w:szCs w:val="19"/>
          <w:color w:val="auto"/>
        </w:rPr>
        <w:t>Section 9.11(f) of the Credit Agreement shall be amended to read “[reserved]”.</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1.10 Section 9.18(b) of the Credit Agreement is hereby amended and restated in its entirety to read in full as follows:</w:t>
      </w:r>
    </w:p>
    <w:p>
      <w:pPr>
        <w:spacing w:after="0" w:line="223" w:lineRule="exact"/>
        <w:rPr>
          <w:sz w:val="20"/>
          <w:szCs w:val="20"/>
          <w:color w:val="auto"/>
        </w:rPr>
      </w:pPr>
    </w:p>
    <w:p>
      <w:pPr>
        <w:jc w:val="both"/>
        <w:ind w:left="640" w:firstLine="646"/>
        <w:spacing w:after="0" w:line="268" w:lineRule="auto"/>
        <w:tabs>
          <w:tab w:leader="none" w:pos="1763" w:val="left"/>
        </w:tabs>
        <w:numPr>
          <w:ilvl w:val="0"/>
          <w:numId w:val="11"/>
        </w:numPr>
        <w:rPr>
          <w:rFonts w:ascii="Arial" w:cs="Arial" w:eastAsia="Arial" w:hAnsi="Arial"/>
          <w:sz w:val="19"/>
          <w:szCs w:val="19"/>
          <w:color w:val="auto"/>
        </w:rPr>
      </w:pPr>
      <w:r>
        <w:rPr>
          <w:rFonts w:ascii="Arial" w:cs="Arial" w:eastAsia="Arial" w:hAnsi="Arial"/>
          <w:sz w:val="19"/>
          <w:szCs w:val="19"/>
          <w:color w:val="auto"/>
        </w:rPr>
        <w:t xml:space="preserve">The Borrower and/or other Guarantors shall have in effect, as of the date on which each Hedging Compliance Certificate is required to be delivered, and thereafter maintain Acceptable Commodity Hedge Agreements, the notional volumes for which are no less than, for the two years that follow such date of delivery, (i) if the Consolidated Total Net Leverage Ratio as of the last day of the most recently ended Test Period prior to such date of delivery is greater than 2.00 to 1.00, 50% of the reasonably anticipated Hydrocarbon production for each fiscal quarter in respect of crude oil from the Credit Parties’ total Proved Developed Producing Reserves (as forecast based upon the Reserve Report delivered concurrently with such Hedging Compliance Certificate), calculated based on daily volumes on an annual basis or (ii) if the Consolidated Total Net Leverage Ratio as of the last day of the most recently ended Test Period prior to such date of delivery is less than or equal to 2.00 to 1.00, 33% of the reasonably anticipated Hydrocarbon production for each fiscal quarter in respect of crude oil from the Credit Parties’ total Proved Developed Producing Reserves (as forecast based upon the Reserve Report delivered concurrently with such Hedging Compliance Certificate), calculated based on daily volumes on an annual basis;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foregoing shall be subject to the proviso at the end of </w:t>
      </w:r>
      <w:r>
        <w:rPr>
          <w:rFonts w:ascii="Arial" w:cs="Arial" w:eastAsia="Arial" w:hAnsi="Arial"/>
          <w:sz w:val="19"/>
          <w:szCs w:val="19"/>
          <w:u w:val="single" w:color="auto"/>
          <w:color w:val="auto"/>
        </w:rPr>
        <w:t>Section 9.1(g)</w:t>
      </w:r>
      <w:r>
        <w:rPr>
          <w:rFonts w:ascii="Arial" w:cs="Arial" w:eastAsia="Arial" w:hAnsi="Arial"/>
          <w:sz w:val="19"/>
          <w:szCs w:val="19"/>
          <w:color w:val="auto"/>
        </w:rPr>
        <w:t>.</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1.11 Sections 10.1(c), 10.2(s), 10.5(cc) and 10.14(n) of the Credit Agreement shall each be amended to read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397"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1"/>
          <w:szCs w:val="21"/>
          <w:color w:val="auto"/>
        </w:rPr>
        <w:t>1.12 Section 10.3(c) of the Credit Agreement is hereby amended and restated in its entirety to read in full as follows:</w:t>
      </w:r>
    </w:p>
    <w:p>
      <w:pPr>
        <w:spacing w:after="0" w:line="212" w:lineRule="exact"/>
        <w:rPr>
          <w:sz w:val="20"/>
          <w:szCs w:val="20"/>
          <w:color w:val="auto"/>
        </w:rPr>
      </w:pPr>
    </w:p>
    <w:p>
      <w:pPr>
        <w:jc w:val="both"/>
        <w:ind w:left="640" w:firstLine="646"/>
        <w:spacing w:after="0" w:line="248" w:lineRule="auto"/>
        <w:tabs>
          <w:tab w:leader="none" w:pos="1730" w:val="left"/>
        </w:tabs>
        <w:numPr>
          <w:ilvl w:val="0"/>
          <w:numId w:val="12"/>
        </w:numPr>
        <w:rPr>
          <w:rFonts w:ascii="Arial" w:cs="Arial" w:eastAsia="Arial" w:hAnsi="Arial"/>
          <w:sz w:val="21"/>
          <w:szCs w:val="21"/>
          <w:color w:val="auto"/>
        </w:rPr>
      </w:pPr>
      <w:r>
        <w:rPr>
          <w:rFonts w:ascii="Arial" w:cs="Arial" w:eastAsia="Arial" w:hAnsi="Arial"/>
          <w:sz w:val="21"/>
          <w:szCs w:val="21"/>
          <w:color w:val="auto"/>
        </w:rPr>
        <w:t>any Restricted Subsidiary that is not a Grantor may (i) merge, amalgamate or consolidate with or into any other Restricted Subsidiary that is not a Grantor and (ii) Dispose of any or all of its assets (upon voluntary liquidation or otherwise) to the Borrower, a Guarantor or any other Restricted Subsidiary of the Borrower (other than to the Production Sharing Entities);</w:t>
      </w:r>
    </w:p>
    <w:p>
      <w:pPr>
        <w:spacing w:after="0" w:line="175" w:lineRule="exact"/>
        <w:rPr>
          <w:sz w:val="20"/>
          <w:szCs w:val="20"/>
          <w:color w:val="auto"/>
        </w:rPr>
      </w:pPr>
    </w:p>
    <w:p>
      <w:pPr>
        <w:ind w:firstLine="640"/>
        <w:spacing w:after="0" w:line="268" w:lineRule="auto"/>
        <w:rPr>
          <w:sz w:val="20"/>
          <w:szCs w:val="20"/>
          <w:color w:val="auto"/>
        </w:rPr>
      </w:pPr>
      <w:r>
        <w:rPr>
          <w:rFonts w:ascii="Arial" w:cs="Arial" w:eastAsia="Arial" w:hAnsi="Arial"/>
          <w:sz w:val="21"/>
          <w:szCs w:val="21"/>
          <w:color w:val="auto"/>
        </w:rPr>
        <w:t>1.13 Section 10.10 of the Credit Agreement is hereby amended to delete the following language: “(other than EHP Midco and its Subsidiaries, prior to the EHP Discharge Date)”.</w:t>
      </w:r>
    </w:p>
    <w:p>
      <w:pPr>
        <w:spacing w:after="0" w:line="154" w:lineRule="exact"/>
        <w:rPr>
          <w:sz w:val="20"/>
          <w:szCs w:val="20"/>
          <w:color w:val="auto"/>
        </w:rPr>
      </w:pPr>
    </w:p>
    <w:p>
      <w:pPr>
        <w:ind w:firstLine="640"/>
        <w:spacing w:after="0" w:line="268" w:lineRule="auto"/>
        <w:rPr>
          <w:sz w:val="20"/>
          <w:szCs w:val="20"/>
          <w:color w:val="auto"/>
        </w:rPr>
      </w:pPr>
      <w:r>
        <w:rPr>
          <w:rFonts w:ascii="Arial" w:cs="Arial" w:eastAsia="Arial" w:hAnsi="Arial"/>
          <w:sz w:val="21"/>
          <w:szCs w:val="21"/>
          <w:color w:val="auto"/>
        </w:rPr>
        <w:t>1.14 The first sentence of Section 10.10(a) of the Credit Agreement is hereby amended and restated in its entirety to read in full as follows:</w:t>
      </w:r>
    </w:p>
    <w:p>
      <w:pPr>
        <w:spacing w:after="0" w:line="154" w:lineRule="exact"/>
        <w:rPr>
          <w:sz w:val="20"/>
          <w:szCs w:val="20"/>
          <w:color w:val="auto"/>
        </w:rPr>
      </w:pPr>
    </w:p>
    <w:p>
      <w:pPr>
        <w:jc w:val="both"/>
        <w:ind w:left="640" w:firstLine="646"/>
        <w:spacing w:after="0" w:line="252" w:lineRule="auto"/>
        <w:tabs>
          <w:tab w:leader="none" w:pos="1778" w:val="left"/>
        </w:tabs>
        <w:numPr>
          <w:ilvl w:val="0"/>
          <w:numId w:val="13"/>
        </w:numPr>
        <w:rPr>
          <w:rFonts w:ascii="Arial" w:cs="Arial" w:eastAsia="Arial" w:hAnsi="Arial"/>
          <w:sz w:val="20"/>
          <w:szCs w:val="20"/>
          <w:color w:val="auto"/>
        </w:rPr>
      </w:pPr>
      <w:r>
        <w:rPr>
          <w:rFonts w:ascii="Arial" w:cs="Arial" w:eastAsia="Arial" w:hAnsi="Arial"/>
          <w:sz w:val="20"/>
          <w:szCs w:val="20"/>
          <w:color w:val="auto"/>
        </w:rPr>
        <w:t xml:space="preserve">Hedge Agreements with Approved Counterparties in respect of Hydrocarbons entered into not for speculative purposes, the net notional volumes for which (when aggregated with other commodity Hedge Agreements then in effect, other than puts, floors and basis differential swaps on volumes already hedged pursuant to other Hedge Agreements) do not exceed, as of the date the latest hedging transaction is entered into under a Hedge Agreement, 85% of the reasonably anticipated Hydrocarbon production of crude oil, natural gas and natural gas liquids, calculated separately, from the Credit Parties’ total Proved Reserves (as forecast based upon the Initial Reserve Report or the most recent Reserve Report delivered pursuant to </w:t>
      </w:r>
      <w:r>
        <w:rPr>
          <w:rFonts w:ascii="Arial" w:cs="Arial" w:eastAsia="Arial" w:hAnsi="Arial"/>
          <w:sz w:val="20"/>
          <w:szCs w:val="20"/>
          <w:u w:val="single" w:color="auto"/>
          <w:color w:val="auto"/>
        </w:rPr>
        <w:t>Section 9.14(a)</w:t>
      </w:r>
      <w:r>
        <w:rPr>
          <w:rFonts w:ascii="Arial" w:cs="Arial" w:eastAsia="Arial" w:hAnsi="Arial"/>
          <w:sz w:val="20"/>
          <w:szCs w:val="20"/>
          <w:color w:val="auto"/>
        </w:rPr>
        <w:t xml:space="preserve">, as applicable) for the forty-eight (48) month period from the date of creation of such hedging arrangement, based on daily volumes on an annual basis; provided, however, notwithstanding the foregoing volume limitation, the Borrower and/or the Restricted Subsidiaries may enter into Hedge Agreements in respect of purchased puts and floors not intended to be physically settled so long as the net notional volumes of all Hedge Agreements in respect of Hydrocarbons subject to this </w:t>
      </w:r>
      <w:r>
        <w:rPr>
          <w:rFonts w:ascii="Arial" w:cs="Arial" w:eastAsia="Arial" w:hAnsi="Arial"/>
          <w:sz w:val="20"/>
          <w:szCs w:val="20"/>
          <w:u w:val="single" w:color="auto"/>
          <w:color w:val="auto"/>
        </w:rPr>
        <w:t>Section 10.10(a)</w:t>
      </w:r>
      <w:r>
        <w:rPr>
          <w:rFonts w:ascii="Arial" w:cs="Arial" w:eastAsia="Arial" w:hAnsi="Arial"/>
          <w:sz w:val="20"/>
          <w:szCs w:val="20"/>
          <w:color w:val="auto"/>
        </w:rPr>
        <w:t xml:space="preserve"> do not exceed (when aggregated with other commodity Hedge Agreements then in effect, other than puts, floors and basis differential swaps on volumes already hedged pursuant to other Hedge Agreements), as of the date the latest hedging transaction is entered into under a Hedge Agreement, 100% of the reasonably anticipated Hydrocarbon production of crude oil, natural gas and natural gas liquids, calculated separately, from the Credit Parties’ total Proved Reserves (as forecast based upon the Initial Reserve Report or the most recent Reserve Report delivered pursuant to </w:t>
      </w:r>
      <w:r>
        <w:rPr>
          <w:rFonts w:ascii="Arial" w:cs="Arial" w:eastAsia="Arial" w:hAnsi="Arial"/>
          <w:sz w:val="20"/>
          <w:szCs w:val="20"/>
          <w:u w:val="single" w:color="auto"/>
          <w:color w:val="auto"/>
        </w:rPr>
        <w:t>Section 9.14(a)</w:t>
      </w:r>
      <w:r>
        <w:rPr>
          <w:rFonts w:ascii="Arial" w:cs="Arial" w:eastAsia="Arial" w:hAnsi="Arial"/>
          <w:sz w:val="20"/>
          <w:szCs w:val="20"/>
          <w:color w:val="auto"/>
        </w:rPr>
        <w:t>, as applicable) for the forty-eight (48) month period from the date of creation of such hedging arrangement, based on daily volumes on an annual basis (the “</w:t>
      </w:r>
      <w:r>
        <w:rPr>
          <w:rFonts w:ascii="Arial" w:cs="Arial" w:eastAsia="Arial" w:hAnsi="Arial"/>
          <w:sz w:val="20"/>
          <w:szCs w:val="20"/>
          <w:u w:val="single" w:color="auto"/>
          <w:color w:val="auto"/>
        </w:rPr>
        <w:t>Ongoing Hedges</w:t>
      </w:r>
      <w:r>
        <w:rPr>
          <w:rFonts w:ascii="Arial" w:cs="Arial" w:eastAsia="Arial" w:hAnsi="Arial"/>
          <w:sz w:val="20"/>
          <w:szCs w:val="20"/>
          <w:color w:val="auto"/>
        </w:rPr>
        <w:t>”). In no event shall any Hedge Agreement entered into by the Credit Parties have a tenor longer than forty-eight (48) months. In addition to the Ongoing Hedges, in connection with a proposed or pending acquisition of Oil and Gas Properties (a “</w:t>
      </w:r>
      <w:r>
        <w:rPr>
          <w:rFonts w:ascii="Arial" w:cs="Arial" w:eastAsia="Arial" w:hAnsi="Arial"/>
          <w:sz w:val="20"/>
          <w:szCs w:val="20"/>
          <w:u w:val="single" w:color="auto"/>
          <w:color w:val="auto"/>
        </w:rPr>
        <w:t>Proposed Acquisition</w:t>
      </w:r>
      <w:r>
        <w:rPr>
          <w:rFonts w:ascii="Arial" w:cs="Arial" w:eastAsia="Arial" w:hAnsi="Arial"/>
          <w:sz w:val="20"/>
          <w:szCs w:val="20"/>
          <w:color w:val="auto"/>
        </w:rPr>
        <w:t>”), the Credit Parties may also enter into incremental hedging contracts with respect to the Credit Parties’ reasonably anticipated projected production from the total Proved Reserves of the Borrower and its Restricted Subsidiaries as forecast based upon the most recent Reserve Report having notional volumes not in excess of 15% of the Credit Parties’ existing projected production prior to the consummation of such Proposed Acquisition (such that the aggregate shall not be more than 100%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397" w:right="339" w:bottom="1440" w:gutter="0" w:footer="0" w:header="0"/>
        </w:sectPr>
      </w:pPr>
    </w:p>
    <w:bookmarkStart w:id="9" w:name="page10"/>
    <w:bookmarkEnd w:id="9"/>
    <w:p>
      <w:pPr>
        <w:jc w:val="both"/>
        <w:ind w:left="640"/>
        <w:spacing w:after="0" w:line="254" w:lineRule="auto"/>
        <w:rPr>
          <w:sz w:val="20"/>
          <w:szCs w:val="20"/>
          <w:color w:val="auto"/>
        </w:rPr>
      </w:pPr>
      <w:r>
        <w:rPr>
          <w:rFonts w:ascii="Arial" w:cs="Arial" w:eastAsia="Arial" w:hAnsi="Arial"/>
          <w:sz w:val="20"/>
          <w:szCs w:val="20"/>
          <w:color w:val="auto"/>
        </w:rPr>
        <w:t>reasonably anticipated projected production prior to the consummation of such Proposed Acquisition) for a period not exceeding thirty-six (36) months from the date such hedging arrangement is created during the period between (i) the date on which such Guarantor signs a definitive acquisition agreement in connection with a Proposed Acquisition and (ii) the earliest of (A) the date of consummation of such Proposed Acquisition, (B) the date of termination of such Proposed Acquisition and (C) thirty (30) days after the date of execution of such definitive acquisition agreement (or such longer period as the Administrative Agent may agree in its reasonable discretion). However, all such incremental hedging contracts entered into with respect to a Proposed Acquisition must be terminated or unwound within thirty (30) days following the date of termination of such Proposed Acquisition. It is understood that commodity Hedge Agreements which may, from time to time, “hedge” the same volumes of commodity risk but different elements of commodity risk thereof, including where one or more such Hedge Agreements partially offset one or more other such Hedge Agreements, shall not be aggregated together when calculating the foregoing limitations on notional volumes.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1.15 Section 10.11(a) of the Credit Agreement is hereby amended and restated in its entirety to read in full as follows:</w:t>
      </w:r>
    </w:p>
    <w:p>
      <w:pPr>
        <w:spacing w:after="0" w:line="223" w:lineRule="exact"/>
        <w:rPr>
          <w:sz w:val="20"/>
          <w:szCs w:val="20"/>
          <w:color w:val="auto"/>
        </w:rPr>
      </w:pPr>
    </w:p>
    <w:p>
      <w:pPr>
        <w:jc w:val="both"/>
        <w:ind w:left="640" w:firstLine="640"/>
        <w:spacing w:after="0" w:line="253" w:lineRule="auto"/>
        <w:rPr>
          <w:sz w:val="20"/>
          <w:szCs w:val="20"/>
          <w:color w:val="auto"/>
        </w:rPr>
      </w:pPr>
      <w:r>
        <w:rPr>
          <w:rFonts w:ascii="Arial" w:cs="Arial" w:eastAsia="Arial" w:hAnsi="Arial"/>
          <w:sz w:val="21"/>
          <w:szCs w:val="21"/>
          <w:u w:val="single" w:color="auto"/>
          <w:color w:val="auto"/>
        </w:rPr>
        <w:t>Consolidated Total Net Leverage Ratio</w:t>
      </w:r>
      <w:r>
        <w:rPr>
          <w:rFonts w:ascii="Arial" w:cs="Arial" w:eastAsia="Arial" w:hAnsi="Arial"/>
          <w:sz w:val="21"/>
          <w:szCs w:val="21"/>
          <w:color w:val="auto"/>
        </w:rPr>
        <w:t>. The Borrower will not permit the Consolidated Total Net Leverage Ratio as of the last day of the Test Period ending on March 31, 2021 and as of the last day of any Test Period ending thereafter to be greater than 3.00 to 1.00.</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1.16 Section 10.11(c) of the Credit Agreement is hereby deleted in its entirety.</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1.17 Section 10.18 of the Credit Agreement is hereby amended to read “[reserved]”.</w:t>
      </w:r>
    </w:p>
    <w:p>
      <w:pPr>
        <w:spacing w:after="0" w:line="212"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21"/>
          <w:szCs w:val="21"/>
          <w:color w:val="auto"/>
        </w:rPr>
        <w:t xml:space="preserve">1.18 Section 13.1 of the Credit Agreement is hereby amended to delete the following language: “or (xii) amend the provisions of </w:t>
      </w:r>
      <w:r>
        <w:rPr>
          <w:rFonts w:ascii="Arial" w:cs="Arial" w:eastAsia="Arial" w:hAnsi="Arial"/>
          <w:sz w:val="21"/>
          <w:szCs w:val="21"/>
          <w:u w:val="single" w:color="auto"/>
          <w:color w:val="auto"/>
        </w:rPr>
        <w:t>Section 2.14(j)</w:t>
      </w:r>
      <w:r>
        <w:rPr>
          <w:rFonts w:ascii="Arial" w:cs="Arial" w:eastAsia="Arial" w:hAnsi="Arial"/>
          <w:sz w:val="21"/>
          <w:szCs w:val="21"/>
          <w:color w:val="auto"/>
        </w:rPr>
        <w:t xml:space="preserve"> without the prior written consent of each Lender”.</w:t>
      </w:r>
    </w:p>
    <w:p>
      <w:pPr>
        <w:spacing w:after="0" w:line="134"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b w:val="1"/>
          <w:bCs w:val="1"/>
          <w:u w:val="single" w:color="auto"/>
          <w:color w:val="auto"/>
        </w:rPr>
        <w:t>Borrowing Base Redetermination and Reduction of the Aggregate Elected Commitment Amount</w:t>
      </w:r>
      <w:r>
        <w:rPr>
          <w:rFonts w:ascii="Arial" w:cs="Arial" w:eastAsia="Arial" w:hAnsi="Arial"/>
          <w:sz w:val="19"/>
          <w:szCs w:val="19"/>
          <w:color w:val="auto"/>
        </w:rPr>
        <w:t xml:space="preserve">. Subject to the satisfaction or waiver in writing of each of the conditions set forth in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below and in reliance upon the representations, warranties, covenants and agreements contained in this Amendment, (a) the Administrative Agent and each Lender hereby increase the Borrowing Base, effective as of the First Amendment Effective Date, to $1,200,000,000, (b) the Administrative Agent, each Lender, the Borrower and the other Credit Parties hereby agree and acknowledge that such reaffirmed Borrowing Base shall remain in effect until the date such Borrowing Base is otherwise adjusted pursuant to the terms of the Credit Agreement and (c) in accordance to Section 2.14(j) of the Credit Agreement, the Administrative Agent, each Lender and the Borrower acknowledge the reduction of the Aggregate Elected Commitment Amount to $492,274,081.43 (with the Elected Commitment of each Lender being reduced in a proportional amount). The Borrower hereby accepts such Borrowing Base and Aggregate Elected Commitment Amount, as so adjusted, to be effective upon the First Amendment Effective Date. The Borrower and the Lenders acknowledge that the redetermination of the Borrowing Base provided for in this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shall constitute the Spring 2021 Scheduled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397" w:right="339" w:bottom="1440" w:gutter="0" w:footer="0" w:header="0"/>
        </w:sectPr>
      </w:pPr>
    </w:p>
    <w:bookmarkStart w:id="10" w:name="page11"/>
    <w:bookmarkEnd w:id="10"/>
    <w:p>
      <w:pPr>
        <w:spacing w:after="0" w:line="268" w:lineRule="auto"/>
        <w:rPr>
          <w:sz w:val="20"/>
          <w:szCs w:val="20"/>
          <w:color w:val="auto"/>
        </w:rPr>
      </w:pPr>
      <w:r>
        <w:rPr>
          <w:rFonts w:ascii="Arial" w:cs="Arial" w:eastAsia="Arial" w:hAnsi="Arial"/>
          <w:sz w:val="21"/>
          <w:szCs w:val="21"/>
          <w:color w:val="auto"/>
        </w:rPr>
        <w:t xml:space="preserve">Redetermination scheduled for on or about April 1, 2021 and that Schedule 1.1(a) of the Credit Agreement shall be amended and restated in its entirety to read as set forth on </w:t>
      </w:r>
      <w:r>
        <w:rPr>
          <w:rFonts w:ascii="Arial" w:cs="Arial" w:eastAsia="Arial" w:hAnsi="Arial"/>
          <w:sz w:val="21"/>
          <w:szCs w:val="21"/>
          <w:u w:val="single" w:color="auto"/>
          <w:color w:val="auto"/>
        </w:rPr>
        <w:t>Annex I</w:t>
      </w:r>
      <w:r>
        <w:rPr>
          <w:rFonts w:ascii="Arial" w:cs="Arial" w:eastAsia="Arial" w:hAnsi="Arial"/>
          <w:sz w:val="21"/>
          <w:szCs w:val="21"/>
          <w:color w:val="auto"/>
        </w:rPr>
        <w:t xml:space="preserve"> attached hereto.</w:t>
      </w:r>
    </w:p>
    <w:p>
      <w:pPr>
        <w:spacing w:after="0" w:line="143" w:lineRule="exact"/>
        <w:rPr>
          <w:sz w:val="20"/>
          <w:szCs w:val="20"/>
          <w:color w:val="auto"/>
        </w:rPr>
      </w:pPr>
    </w:p>
    <w:p>
      <w:pPr>
        <w:spacing w:after="0" w:line="269" w:lineRule="auto"/>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b w:val="1"/>
          <w:bCs w:val="1"/>
          <w:u w:val="single" w:color="auto"/>
          <w:color w:val="auto"/>
        </w:rPr>
        <w:t>Conditions Precedent</w:t>
      </w:r>
      <w:r>
        <w:rPr>
          <w:rFonts w:ascii="Arial" w:cs="Arial" w:eastAsia="Arial" w:hAnsi="Arial"/>
          <w:sz w:val="23"/>
          <w:szCs w:val="23"/>
          <w:b w:val="1"/>
          <w:bCs w:val="1"/>
          <w:color w:val="auto"/>
        </w:rPr>
        <w:t>.</w:t>
      </w:r>
      <w:r>
        <w:rPr>
          <w:rFonts w:ascii="Arial" w:cs="Arial" w:eastAsia="Arial" w:hAnsi="Arial"/>
          <w:sz w:val="21"/>
          <w:szCs w:val="21"/>
          <w:color w:val="auto"/>
        </w:rPr>
        <w:t xml:space="preserve"> The effectiveness of this Amendment is subject to satisfaction of each of the following conditions precedent:</w:t>
      </w:r>
    </w:p>
    <w:p>
      <w:pPr>
        <w:spacing w:after="0" w:line="130" w:lineRule="exact"/>
        <w:rPr>
          <w:sz w:val="20"/>
          <w:szCs w:val="20"/>
          <w:color w:val="auto"/>
        </w:rPr>
      </w:pPr>
    </w:p>
    <w:p>
      <w:pPr>
        <w:ind w:right="260" w:firstLine="213"/>
        <w:spacing w:after="0" w:line="274"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b w:val="1"/>
          <w:bCs w:val="1"/>
          <w:u w:val="single" w:color="auto"/>
          <w:color w:val="auto"/>
        </w:rPr>
        <w:t>Executed Amendment</w:t>
      </w:r>
      <w:r>
        <w:rPr>
          <w:rFonts w:ascii="Arial" w:cs="Arial" w:eastAsia="Arial" w:hAnsi="Arial"/>
          <w:sz w:val="21"/>
          <w:szCs w:val="21"/>
          <w:color w:val="auto"/>
        </w:rPr>
        <w:t>. Administrative Agent shall have received counterparts of this Amendment duly executed by the Borrower, the other Credit Parties and each of the Lenders.</w:t>
      </w:r>
    </w:p>
    <w:p>
      <w:pPr>
        <w:spacing w:after="0" w:line="142" w:lineRule="exact"/>
        <w:rPr>
          <w:sz w:val="20"/>
          <w:szCs w:val="20"/>
          <w:color w:val="auto"/>
        </w:rPr>
      </w:pPr>
    </w:p>
    <w:p>
      <w:pPr>
        <w:ind w:right="120" w:firstLine="213"/>
        <w:spacing w:after="0" w:line="274"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b w:val="1"/>
          <w:bCs w:val="1"/>
          <w:u w:val="single" w:color="auto"/>
          <w:color w:val="auto"/>
        </w:rPr>
        <w:t>Absence of Defaults</w:t>
      </w:r>
      <w:r>
        <w:rPr>
          <w:rFonts w:ascii="Arial" w:cs="Arial" w:eastAsia="Arial" w:hAnsi="Arial"/>
          <w:sz w:val="21"/>
          <w:szCs w:val="21"/>
          <w:color w:val="auto"/>
        </w:rPr>
        <w:t>. No Default or Event of Default shall have occurred that is continuing immediately prior to and after giving effect to this Amendment.</w:t>
      </w:r>
    </w:p>
    <w:p>
      <w:pPr>
        <w:spacing w:after="0" w:line="142" w:lineRule="exact"/>
        <w:rPr>
          <w:sz w:val="20"/>
          <w:szCs w:val="20"/>
          <w:color w:val="auto"/>
        </w:rPr>
      </w:pPr>
    </w:p>
    <w:p>
      <w:pPr>
        <w:jc w:val="both"/>
        <w:ind w:right="620" w:firstLine="213"/>
        <w:spacing w:after="0" w:line="256"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b w:val="1"/>
          <w:bCs w:val="1"/>
          <w:u w:val="single" w:color="auto"/>
          <w:color w:val="auto"/>
        </w:rPr>
        <w:t>Representations and Warranties</w:t>
      </w:r>
      <w:r>
        <w:rPr>
          <w:rFonts w:ascii="Arial" w:cs="Arial" w:eastAsia="Arial" w:hAnsi="Arial"/>
          <w:sz w:val="21"/>
          <w:szCs w:val="21"/>
          <w:color w:val="auto"/>
        </w:rPr>
        <w:t xml:space="preserve">. Each representation and warranty contained in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hereof shall be true and correct in all material respects or to the extent that any such representations and warranties are qualified by materiality, such representations and warranties shall be true and correct in all respects.</w:t>
      </w:r>
    </w:p>
    <w:p>
      <w:pPr>
        <w:spacing w:after="0" w:line="160" w:lineRule="exact"/>
        <w:rPr>
          <w:sz w:val="20"/>
          <w:szCs w:val="20"/>
          <w:color w:val="auto"/>
        </w:rPr>
      </w:pPr>
    </w:p>
    <w:p>
      <w:pPr>
        <w:ind w:right="20" w:firstLine="213"/>
        <w:spacing w:after="0" w:line="285"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b w:val="1"/>
          <w:bCs w:val="1"/>
          <w:u w:val="single" w:color="auto"/>
          <w:color w:val="auto"/>
        </w:rPr>
        <w:t>Fees</w:t>
      </w:r>
      <w:r>
        <w:rPr>
          <w:rFonts w:ascii="Arial" w:cs="Arial" w:eastAsia="Arial" w:hAnsi="Arial"/>
          <w:sz w:val="19"/>
          <w:szCs w:val="19"/>
          <w:color w:val="auto"/>
        </w:rPr>
        <w:t>. The Borrower shall have paid or caused to be paid, to the extent payable under Section 13.5 of the Credit Agreement, all reasonable and documented out-of-pocket costs and expenses incurred in connection with the preparation, negotiation and execution of this Amendment and the other instruments and documents to be delivered hereunder, if any (including the reasonable and documented fees, disbursements and other charges of Latham &amp; Watkins LLP, counsel for the Administrative Agent).</w:t>
      </w:r>
    </w:p>
    <w:p>
      <w:pPr>
        <w:spacing w:after="0" w:line="135"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SECTION 4. </w:t>
      </w:r>
      <w:r>
        <w:rPr>
          <w:rFonts w:ascii="Arial" w:cs="Arial" w:eastAsia="Arial" w:hAnsi="Arial"/>
          <w:sz w:val="21"/>
          <w:szCs w:val="21"/>
          <w:b w:val="1"/>
          <w:bCs w:val="1"/>
          <w:u w:val="single" w:color="auto"/>
          <w:color w:val="auto"/>
        </w:rPr>
        <w:t>Representations and Warranties</w:t>
      </w:r>
      <w:r>
        <w:rPr>
          <w:rFonts w:ascii="Arial" w:cs="Arial" w:eastAsia="Arial" w:hAnsi="Arial"/>
          <w:sz w:val="21"/>
          <w:szCs w:val="21"/>
          <w:color w:val="auto"/>
        </w:rPr>
        <w:t>.</w:t>
      </w:r>
    </w:p>
    <w:p>
      <w:pPr>
        <w:spacing w:after="0" w:line="231"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21"/>
          <w:szCs w:val="21"/>
          <w:color w:val="auto"/>
        </w:rPr>
        <w:t>In order to induce the Administrative Agent and the Lenders to enter into this Amendment, each of the Borrower and the other Credit Parties hereby represents and warrants to the Administrative Agent and the Lenders that:</w:t>
      </w:r>
    </w:p>
    <w:p>
      <w:pPr>
        <w:spacing w:after="0" w:line="148" w:lineRule="exact"/>
        <w:rPr>
          <w:sz w:val="20"/>
          <w:szCs w:val="20"/>
          <w:color w:val="auto"/>
        </w:rPr>
      </w:pPr>
    </w:p>
    <w:p>
      <w:pPr>
        <w:ind w:left="860"/>
        <w:spacing w:after="0"/>
        <w:tabs>
          <w:tab w:leader="none" w:pos="1320" w:val="left"/>
        </w:tabs>
        <w:rPr>
          <w:sz w:val="20"/>
          <w:szCs w:val="20"/>
          <w:color w:val="auto"/>
        </w:rPr>
      </w:pPr>
      <w:r>
        <w:rPr>
          <w:rFonts w:ascii="Arial" w:cs="Arial" w:eastAsia="Arial" w:hAnsi="Arial"/>
          <w:sz w:val="21"/>
          <w:szCs w:val="21"/>
          <w:color w:val="auto"/>
        </w:rPr>
        <w:t>4.1</w:t>
      </w:r>
      <w:r>
        <w:rPr>
          <w:sz w:val="20"/>
          <w:szCs w:val="20"/>
          <w:color w:val="auto"/>
        </w:rPr>
        <w:tab/>
      </w:r>
      <w:r>
        <w:rPr>
          <w:rFonts w:ascii="Arial" w:cs="Arial" w:eastAsia="Arial" w:hAnsi="Arial"/>
          <w:sz w:val="19"/>
          <w:szCs w:val="19"/>
          <w:b w:val="1"/>
          <w:bCs w:val="1"/>
          <w:u w:val="single" w:color="auto"/>
          <w:color w:val="auto"/>
        </w:rPr>
        <w:t>Accuracy of Representations and Warranties</w:t>
      </w:r>
      <w:r>
        <w:rPr>
          <w:rFonts w:ascii="Arial" w:cs="Arial" w:eastAsia="Arial" w:hAnsi="Arial"/>
          <w:sz w:val="19"/>
          <w:szCs w:val="19"/>
          <w:color w:val="auto"/>
        </w:rPr>
        <w:t>. (a) both immediately before and</w:t>
      </w:r>
    </w:p>
    <w:p>
      <w:pPr>
        <w:spacing w:after="0" w:line="22"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after giving effect to this Amendment, no Default or Event of Default has occurred and is continuing and (b) after giving effect to this Amendment all representations and warranties made by each Credit Party contained herein or in the other Credit Documents shall be true and correct in all material respects with the same effect as though such representations and warranties had been made on and as of the First Amendment Effective Date (expect where such representations and warranties expressly relate to an earlier date, in which case such representations and warranties shall have been true and correct in all material respects as of such earlier date and except that any representation and warranty that is qualified as to “materiality,” “Material Adverse Effect” or similar language shall be true and correct (after given effect to any qualification therein) in all respects on such respective dates).</w:t>
      </w:r>
    </w:p>
    <w:p>
      <w:pPr>
        <w:spacing w:after="0" w:line="161" w:lineRule="exact"/>
        <w:rPr>
          <w:sz w:val="20"/>
          <w:szCs w:val="20"/>
          <w:color w:val="auto"/>
        </w:rPr>
      </w:pPr>
    </w:p>
    <w:p>
      <w:pPr>
        <w:ind w:left="860"/>
        <w:spacing w:after="0"/>
        <w:tabs>
          <w:tab w:leader="none" w:pos="1320" w:val="left"/>
        </w:tabs>
        <w:rPr>
          <w:sz w:val="20"/>
          <w:szCs w:val="20"/>
          <w:color w:val="auto"/>
        </w:rPr>
      </w:pPr>
      <w:r>
        <w:rPr>
          <w:rFonts w:ascii="Arial" w:cs="Arial" w:eastAsia="Arial" w:hAnsi="Arial"/>
          <w:sz w:val="21"/>
          <w:szCs w:val="21"/>
          <w:color w:val="auto"/>
        </w:rPr>
        <w:t>4.2</w:t>
      </w:r>
      <w:r>
        <w:rPr>
          <w:sz w:val="20"/>
          <w:szCs w:val="20"/>
          <w:color w:val="auto"/>
        </w:rPr>
        <w:tab/>
      </w:r>
      <w:r>
        <w:rPr>
          <w:rFonts w:ascii="Arial" w:cs="Arial" w:eastAsia="Arial" w:hAnsi="Arial"/>
          <w:sz w:val="19"/>
          <w:szCs w:val="19"/>
          <w:b w:val="1"/>
          <w:bCs w:val="1"/>
          <w:u w:val="single" w:color="auto"/>
          <w:color w:val="auto"/>
        </w:rPr>
        <w:t>No Conflicts</w:t>
      </w:r>
      <w:r>
        <w:rPr>
          <w:rFonts w:ascii="Arial" w:cs="Arial" w:eastAsia="Arial" w:hAnsi="Arial"/>
          <w:sz w:val="19"/>
          <w:szCs w:val="19"/>
          <w:color w:val="auto"/>
        </w:rPr>
        <w:t>. None of the execution, delivery or performance by any Credit Party</w:t>
      </w:r>
    </w:p>
    <w:p>
      <w:pPr>
        <w:spacing w:after="0" w:line="22"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of this Amendment will (a) contravene any Requirement of Law, except to the extent such contravention would not reasonably be expected to result in a Material Adverse Effect, (b) result in any breach of any of the terms, covenants, conditions or provisions of, or constitute a default under, or result in the creation or imposition of (or the obligation to create or impose) any Lien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398" w:right="339" w:bottom="1440" w:gutter="0" w:footer="0" w:header="0"/>
        </w:sectPr>
      </w:pPr>
    </w:p>
    <w:bookmarkStart w:id="11" w:name="page12"/>
    <w:bookmarkEnd w:id="11"/>
    <w:p>
      <w:pPr>
        <w:jc w:val="both"/>
        <w:spacing w:after="0" w:line="248" w:lineRule="auto"/>
        <w:rPr>
          <w:sz w:val="20"/>
          <w:szCs w:val="20"/>
          <w:color w:val="auto"/>
        </w:rPr>
      </w:pPr>
      <w:r>
        <w:rPr>
          <w:rFonts w:ascii="Arial" w:cs="Arial" w:eastAsia="Arial" w:hAnsi="Arial"/>
          <w:sz w:val="21"/>
          <w:szCs w:val="21"/>
          <w:color w:val="auto"/>
        </w:rPr>
        <w:t>upon any of the property or assets of such Credit Party or any of the Restricted Subsidiaries (other than Liens created under the Credit Documents) pursuant to the terms of any Contractual Requirement, except to the extent such breach, default or Lien that would not reasonably be expected to result in a Material Adverse Effect or (c) violate any provision of the Organization Documents of such Credit Party or any of the Restricted Subsidiaries.</w:t>
      </w:r>
    </w:p>
    <w:p>
      <w:pPr>
        <w:spacing w:after="0" w:line="169" w:lineRule="exact"/>
        <w:rPr>
          <w:sz w:val="20"/>
          <w:szCs w:val="20"/>
          <w:color w:val="auto"/>
        </w:rPr>
      </w:pPr>
    </w:p>
    <w:p>
      <w:pPr>
        <w:ind w:right="200" w:firstLine="213"/>
        <w:spacing w:after="0" w:line="296"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b w:val="1"/>
          <w:bCs w:val="1"/>
          <w:u w:val="single" w:color="auto"/>
          <w:color w:val="auto"/>
        </w:rPr>
        <w:t>Due Authorization</w:t>
      </w:r>
      <w:r>
        <w:rPr>
          <w:rFonts w:ascii="Arial" w:cs="Arial" w:eastAsia="Arial" w:hAnsi="Arial"/>
          <w:sz w:val="19"/>
          <w:szCs w:val="19"/>
          <w:color w:val="auto"/>
        </w:rPr>
        <w:t>. Each Credit Party has the corporate or other organizational power and authority to execute, deliver and carry out the terms and provisions of this Amendment, and has taken all necessary corporate or other organizational action to authorize the execution, delivery and performance of this Amendment, and has duly executed and delivered this Amendment.</w:t>
      </w:r>
    </w:p>
    <w:p>
      <w:pPr>
        <w:spacing w:after="0" w:line="138" w:lineRule="exact"/>
        <w:rPr>
          <w:sz w:val="20"/>
          <w:szCs w:val="20"/>
          <w:color w:val="auto"/>
        </w:rPr>
      </w:pPr>
    </w:p>
    <w:p>
      <w:pPr>
        <w:jc w:val="both"/>
        <w:ind w:right="220" w:firstLine="213"/>
        <w:spacing w:after="0" w:line="250" w:lineRule="auto"/>
        <w:rPr>
          <w:sz w:val="20"/>
          <w:szCs w:val="20"/>
          <w:color w:val="auto"/>
        </w:rPr>
      </w:pPr>
      <w:r>
        <w:rPr>
          <w:rFonts w:ascii="Arial" w:cs="Arial" w:eastAsia="Arial" w:hAnsi="Arial"/>
          <w:sz w:val="21"/>
          <w:szCs w:val="21"/>
          <w:color w:val="auto"/>
        </w:rPr>
        <w:t xml:space="preserve">4.4 </w:t>
      </w:r>
      <w:r>
        <w:rPr>
          <w:rFonts w:ascii="Arial" w:cs="Arial" w:eastAsia="Arial" w:hAnsi="Arial"/>
          <w:sz w:val="21"/>
          <w:szCs w:val="21"/>
          <w:b w:val="1"/>
          <w:bCs w:val="1"/>
          <w:u w:val="single" w:color="auto"/>
          <w:color w:val="auto"/>
        </w:rPr>
        <w:t>Validity and Binding Effect</w:t>
      </w:r>
      <w:r>
        <w:rPr>
          <w:rFonts w:ascii="Arial" w:cs="Arial" w:eastAsia="Arial" w:hAnsi="Arial"/>
          <w:sz w:val="21"/>
          <w:szCs w:val="21"/>
          <w:color w:val="auto"/>
        </w:rPr>
        <w:t>. This Amendment constitutes the legal, valid and binding obligation of each Credit Party, enforceable in accordance with its terms, subject to the effects of bankruptcy, insolvency, fraudulent conveyance, reorganization and other similar laws relating to or affecting creditors’ rights generally and general principles of equity (whether considered in a proceeding in equity or law).</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b w:val="1"/>
          <w:bCs w:val="1"/>
          <w:u w:val="single" w:color="auto"/>
          <w:color w:val="auto"/>
        </w:rPr>
        <w:t>Miscellaneous</w:t>
      </w:r>
      <w:r>
        <w:rPr>
          <w:rFonts w:ascii="Arial" w:cs="Arial" w:eastAsia="Arial" w:hAnsi="Arial"/>
          <w:sz w:val="21"/>
          <w:szCs w:val="21"/>
          <w:color w:val="auto"/>
        </w:rPr>
        <w:t>.</w:t>
      </w:r>
    </w:p>
    <w:p>
      <w:pPr>
        <w:spacing w:after="0" w:line="225" w:lineRule="exact"/>
        <w:rPr>
          <w:sz w:val="20"/>
          <w:szCs w:val="20"/>
          <w:color w:val="auto"/>
        </w:rPr>
      </w:pPr>
    </w:p>
    <w:p>
      <w:pPr>
        <w:ind w:right="40" w:firstLine="213"/>
        <w:spacing w:after="0" w:line="244"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b w:val="1"/>
          <w:bCs w:val="1"/>
          <w:u w:val="single" w:color="auto"/>
          <w:color w:val="auto"/>
        </w:rPr>
        <w:t>Confirmation and Effect</w:t>
      </w:r>
      <w:r>
        <w:rPr>
          <w:rFonts w:ascii="Arial" w:cs="Arial" w:eastAsia="Arial" w:hAnsi="Arial"/>
          <w:sz w:val="21"/>
          <w:szCs w:val="21"/>
          <w:color w:val="auto"/>
        </w:rPr>
        <w:t>. The provisions of the Credit Agreement (as amended by this Amendment) shall remain in full force and effect in accordance with its terms following the effectiveness of this Amendment, and this Amendment shall not constitute a waiver of any provision of the Credit Agreement or any other Credit Document. Each reference in the Credit Agreement to “this Agreement”, “hereunder”, “hereof’, “herein”, or words of like import shall mean and be a reference to the Credit Agreement as amended hereby, and each reference to the Credit Agreement in any other document, instrument or agreement executed and/or delivered in connection with the Credit Agreement shall mean and be a reference to the Credit Agreement as amended hereby.</w:t>
      </w:r>
    </w:p>
    <w:p>
      <w:pPr>
        <w:spacing w:after="0" w:line="161" w:lineRule="exact"/>
        <w:rPr>
          <w:sz w:val="20"/>
          <w:szCs w:val="20"/>
          <w:color w:val="auto"/>
        </w:rPr>
      </w:pPr>
    </w:p>
    <w:p>
      <w:pPr>
        <w:ind w:right="220" w:firstLine="213"/>
        <w:spacing w:after="0" w:line="245"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b w:val="1"/>
          <w:bCs w:val="1"/>
          <w:u w:val="single" w:color="auto"/>
          <w:color w:val="auto"/>
        </w:rPr>
        <w:t>Ratification and Affirmation of Credit Parties</w:t>
      </w:r>
      <w:r>
        <w:rPr>
          <w:rFonts w:ascii="Arial" w:cs="Arial" w:eastAsia="Arial" w:hAnsi="Arial"/>
          <w:sz w:val="21"/>
          <w:szCs w:val="21"/>
          <w:color w:val="auto"/>
        </w:rPr>
        <w:t>. Each of the Credit Parties hereby expressly (i) acknowledges the terms of this Amendment, (ii) ratifies and affirms its obligations under the Guarantee, the Security Documents and the other Credit Documents to which it is a party, (iii) acknowledges, renews and extends its continued liability under the Guarantee, the Security Documents and the other Credit Documents to which it is a party and (iv) agrees that its guarantee under the Guarantee, the Security Documents and the other Credit Documents to which it is a party remains in full force and effect with respect to the Obligations as amended hereby.</w:t>
      </w:r>
    </w:p>
    <w:p>
      <w:pPr>
        <w:spacing w:after="0" w:line="187" w:lineRule="exact"/>
        <w:rPr>
          <w:sz w:val="20"/>
          <w:szCs w:val="20"/>
          <w:color w:val="auto"/>
        </w:rPr>
      </w:pPr>
    </w:p>
    <w:p>
      <w:pPr>
        <w:ind w:right="360" w:firstLine="213"/>
        <w:spacing w:after="0" w:line="274" w:lineRule="auto"/>
        <w:rPr>
          <w:sz w:val="20"/>
          <w:szCs w:val="20"/>
          <w:color w:val="auto"/>
        </w:rPr>
      </w:pPr>
      <w:r>
        <w:rPr>
          <w:rFonts w:ascii="Arial" w:cs="Arial" w:eastAsia="Arial" w:hAnsi="Arial"/>
          <w:sz w:val="21"/>
          <w:szCs w:val="21"/>
          <w:color w:val="auto"/>
        </w:rPr>
        <w:t xml:space="preserve">5.3 </w:t>
      </w:r>
      <w:r>
        <w:rPr>
          <w:rFonts w:ascii="Arial" w:cs="Arial" w:eastAsia="Arial" w:hAnsi="Arial"/>
          <w:sz w:val="21"/>
          <w:szCs w:val="21"/>
          <w:b w:val="1"/>
          <w:bCs w:val="1"/>
          <w:u w:val="single" w:color="auto"/>
          <w:color w:val="auto"/>
        </w:rPr>
        <w:t>Parties in Interest</w:t>
      </w:r>
      <w:r>
        <w:rPr>
          <w:rFonts w:ascii="Arial" w:cs="Arial" w:eastAsia="Arial" w:hAnsi="Arial"/>
          <w:sz w:val="21"/>
          <w:szCs w:val="21"/>
          <w:color w:val="auto"/>
        </w:rPr>
        <w:t>. All of the terms and provisions of this Amendment shall bind and inure to the benefit of the parties hereto and their respective successors and assigns.</w:t>
      </w:r>
    </w:p>
    <w:p>
      <w:pPr>
        <w:spacing w:after="0" w:line="142" w:lineRule="exact"/>
        <w:rPr>
          <w:sz w:val="20"/>
          <w:szCs w:val="20"/>
          <w:color w:val="auto"/>
        </w:rPr>
      </w:pPr>
    </w:p>
    <w:p>
      <w:pPr>
        <w:ind w:right="20" w:firstLine="213"/>
        <w:spacing w:after="0" w:line="247" w:lineRule="auto"/>
        <w:rPr>
          <w:sz w:val="20"/>
          <w:szCs w:val="20"/>
          <w:color w:val="auto"/>
        </w:rPr>
      </w:pPr>
      <w:r>
        <w:rPr>
          <w:rFonts w:ascii="Arial" w:cs="Arial" w:eastAsia="Arial" w:hAnsi="Arial"/>
          <w:sz w:val="21"/>
          <w:szCs w:val="21"/>
          <w:color w:val="auto"/>
        </w:rPr>
        <w:t xml:space="preserve">5.4 </w:t>
      </w:r>
      <w:r>
        <w:rPr>
          <w:rFonts w:ascii="Arial" w:cs="Arial" w:eastAsia="Arial" w:hAnsi="Arial"/>
          <w:sz w:val="21"/>
          <w:szCs w:val="21"/>
          <w:b w:val="1"/>
          <w:bCs w:val="1"/>
          <w:u w:val="single" w:color="auto"/>
          <w:color w:val="auto"/>
        </w:rPr>
        <w:t>Counterparts; Facsimile</w:t>
      </w:r>
      <w:r>
        <w:rPr>
          <w:rFonts w:ascii="Arial" w:cs="Arial" w:eastAsia="Arial" w:hAnsi="Arial"/>
          <w:sz w:val="21"/>
          <w:szCs w:val="21"/>
          <w:color w:val="auto"/>
        </w:rPr>
        <w:t>. This Amendment may be executed by one or more of the parties to this Amendment on any number of separate counterparts and all of said counterparts taken together shall be deemed to constitute one and the same instrument. A set of the copies of this Amendment signed by all the parties shall be lodged with the Borrower and the Administrative Agent. This Amendment may be validly delivered by facsimile or other electronic transmission of an executed counterpart of the signature page hereof. The words “execution,” “execute”, “signed,”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397" w:right="339" w:bottom="1440" w:gutter="0" w:footer="0" w:header="0"/>
        </w:sectPr>
      </w:pPr>
    </w:p>
    <w:bookmarkStart w:id="12" w:name="page13"/>
    <w:bookmarkEnd w:id="12"/>
    <w:p>
      <w:pPr>
        <w:jc w:val="both"/>
        <w:spacing w:after="0" w:line="257" w:lineRule="auto"/>
        <w:rPr>
          <w:sz w:val="20"/>
          <w:szCs w:val="20"/>
          <w:color w:val="auto"/>
        </w:rPr>
      </w:pPr>
      <w:r>
        <w:rPr>
          <w:rFonts w:ascii="Arial" w:cs="Arial" w:eastAsia="Arial" w:hAnsi="Arial"/>
          <w:sz w:val="20"/>
          <w:szCs w:val="20"/>
          <w:color w:val="auto"/>
        </w:rPr>
        <w:t>“signature,” and words of like import in or related to any document to be signed in connection with this Amendment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63" w:lineRule="exact"/>
        <w:rPr>
          <w:sz w:val="20"/>
          <w:szCs w:val="20"/>
          <w:color w:val="auto"/>
        </w:rPr>
      </w:pPr>
    </w:p>
    <w:p>
      <w:pPr>
        <w:jc w:val="both"/>
        <w:ind w:firstLine="640"/>
        <w:spacing w:after="0" w:line="244" w:lineRule="auto"/>
        <w:rPr>
          <w:sz w:val="20"/>
          <w:szCs w:val="20"/>
          <w:color w:val="auto"/>
        </w:rPr>
      </w:pPr>
      <w:r>
        <w:rPr>
          <w:rFonts w:ascii="Arial" w:cs="Arial" w:eastAsia="Arial" w:hAnsi="Arial"/>
          <w:sz w:val="21"/>
          <w:szCs w:val="21"/>
          <w:color w:val="auto"/>
        </w:rPr>
        <w:t xml:space="preserve">5.5 </w:t>
      </w:r>
      <w:r>
        <w:rPr>
          <w:rFonts w:ascii="Arial" w:cs="Arial" w:eastAsia="Arial" w:hAnsi="Arial"/>
          <w:sz w:val="21"/>
          <w:szCs w:val="21"/>
          <w:b w:val="1"/>
          <w:bCs w:val="1"/>
          <w:u w:val="single" w:color="auto"/>
          <w:color w:val="auto"/>
        </w:rPr>
        <w:t>COMPLETE AGREEMENT</w:t>
      </w:r>
      <w:r>
        <w:rPr>
          <w:rFonts w:ascii="Arial" w:cs="Arial" w:eastAsia="Arial" w:hAnsi="Arial"/>
          <w:sz w:val="21"/>
          <w:szCs w:val="21"/>
          <w:color w:val="auto"/>
        </w:rPr>
        <w:t>. THIS AMENDMENT AND THE OTHER CREDIT DOCUMENTS REPRESENT THE AGREEMENT OF THE BORROWER, THE GUARANTORS, THE GRANTORS, THE COLLATERAL AGENT, THE ADMINISTRATIVE AGENT AND THE LENDERS WITH RESPECT TO THE SUBJECT MATTER HEREOF AND THEREOF, AND THERE ARE NO PROMISES, UNDERTAKINGS, REPRESENTATIONS OR WARRANTIES BY THE BORROWER, THE GUARANTORS, THE GRANTORS, ANY AGENT NOR ANY LENDER RELATIVE TO SUBJECT MATTER HEREOF NOT EXPRESSLY SET FORTH OR REFERRED TO HEREIN OR IN THE OTHER CREDIT DOCUMENTS.</w:t>
      </w:r>
    </w:p>
    <w:p>
      <w:pPr>
        <w:spacing w:after="0" w:line="174" w:lineRule="exact"/>
        <w:rPr>
          <w:sz w:val="20"/>
          <w:szCs w:val="20"/>
          <w:color w:val="auto"/>
        </w:rPr>
      </w:pPr>
    </w:p>
    <w:p>
      <w:pPr>
        <w:ind w:left="860"/>
        <w:spacing w:after="0"/>
        <w:tabs>
          <w:tab w:leader="none" w:pos="1320" w:val="left"/>
        </w:tabs>
        <w:rPr>
          <w:sz w:val="20"/>
          <w:szCs w:val="20"/>
          <w:color w:val="auto"/>
        </w:rPr>
      </w:pPr>
      <w:r>
        <w:rPr>
          <w:rFonts w:ascii="Arial" w:cs="Arial" w:eastAsia="Arial" w:hAnsi="Arial"/>
          <w:sz w:val="21"/>
          <w:szCs w:val="21"/>
          <w:color w:val="auto"/>
        </w:rPr>
        <w:t>5.6</w:t>
      </w:r>
      <w:r>
        <w:rPr>
          <w:sz w:val="20"/>
          <w:szCs w:val="20"/>
          <w:color w:val="auto"/>
        </w:rPr>
        <w:tab/>
      </w:r>
      <w:r>
        <w:rPr>
          <w:rFonts w:ascii="Arial" w:cs="Arial" w:eastAsia="Arial" w:hAnsi="Arial"/>
          <w:sz w:val="19"/>
          <w:szCs w:val="19"/>
          <w:b w:val="1"/>
          <w:bCs w:val="1"/>
          <w:u w:val="single" w:color="auto"/>
          <w:color w:val="auto"/>
        </w:rPr>
        <w:t>Interpretation</w:t>
      </w:r>
      <w:r>
        <w:rPr>
          <w:rFonts w:ascii="Arial" w:cs="Arial" w:eastAsia="Arial" w:hAnsi="Arial"/>
          <w:sz w:val="19"/>
          <w:szCs w:val="19"/>
          <w:color w:val="auto"/>
        </w:rPr>
        <w:t>. Wherever the context hereof shall so require, the singular shall</w:t>
      </w:r>
    </w:p>
    <w:p>
      <w:pPr>
        <w:spacing w:after="0" w:line="22"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include the plural, the masculine gender shall include the feminine gender and the neuter and vice versa. The headings, captions and arrangements used in this Amendment are for convenience only, shall not affect the interpretation of this Amendment, and shall not be deemed to limit, amplify or modify the terms of this Amendment, nor affect the meaning thereof.</w:t>
      </w:r>
    </w:p>
    <w:p>
      <w:pPr>
        <w:spacing w:after="0" w:line="156" w:lineRule="exact"/>
        <w:rPr>
          <w:sz w:val="20"/>
          <w:szCs w:val="20"/>
          <w:color w:val="auto"/>
        </w:rPr>
      </w:pPr>
    </w:p>
    <w:p>
      <w:pPr>
        <w:ind w:left="860"/>
        <w:spacing w:after="0"/>
        <w:tabs>
          <w:tab w:leader="none" w:pos="1320" w:val="left"/>
        </w:tabs>
        <w:rPr>
          <w:sz w:val="20"/>
          <w:szCs w:val="20"/>
          <w:color w:val="auto"/>
        </w:rPr>
      </w:pPr>
      <w:r>
        <w:rPr>
          <w:rFonts w:ascii="Arial" w:cs="Arial" w:eastAsia="Arial" w:hAnsi="Arial"/>
          <w:sz w:val="21"/>
          <w:szCs w:val="21"/>
          <w:color w:val="auto"/>
        </w:rPr>
        <w:t>5.7</w:t>
      </w:r>
      <w:r>
        <w:rPr>
          <w:sz w:val="20"/>
          <w:szCs w:val="20"/>
          <w:color w:val="auto"/>
        </w:rPr>
        <w:tab/>
      </w:r>
      <w:r>
        <w:rPr>
          <w:rFonts w:ascii="Arial" w:cs="Arial" w:eastAsia="Arial" w:hAnsi="Arial"/>
          <w:sz w:val="19"/>
          <w:szCs w:val="19"/>
          <w:b w:val="1"/>
          <w:bCs w:val="1"/>
          <w:u w:val="single" w:color="auto"/>
          <w:color w:val="auto"/>
        </w:rPr>
        <w:t>Titles of Sections</w:t>
      </w:r>
      <w:r>
        <w:rPr>
          <w:rFonts w:ascii="Arial" w:cs="Arial" w:eastAsia="Arial" w:hAnsi="Arial"/>
          <w:sz w:val="19"/>
          <w:szCs w:val="19"/>
          <w:color w:val="auto"/>
        </w:rPr>
        <w:t>. All titles or headings to the sections or other divisions of this</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Amendment are only for the convenience of the parties and shall not be construed to have any effect or meaning with respect to the other content of such sections, subsections or other divisions, such other content being controlling as to the agreement between the parties hereto.</w:t>
      </w:r>
    </w:p>
    <w:p>
      <w:pPr>
        <w:spacing w:after="0" w:line="172" w:lineRule="exact"/>
        <w:rPr>
          <w:sz w:val="20"/>
          <w:szCs w:val="20"/>
          <w:color w:val="auto"/>
        </w:rPr>
      </w:pPr>
    </w:p>
    <w:p>
      <w:pPr>
        <w:ind w:left="860"/>
        <w:spacing w:after="0"/>
        <w:tabs>
          <w:tab w:leader="none" w:pos="1320" w:val="left"/>
        </w:tabs>
        <w:rPr>
          <w:sz w:val="20"/>
          <w:szCs w:val="20"/>
          <w:color w:val="auto"/>
        </w:rPr>
      </w:pPr>
      <w:r>
        <w:rPr>
          <w:rFonts w:ascii="Arial" w:cs="Arial" w:eastAsia="Arial" w:hAnsi="Arial"/>
          <w:sz w:val="21"/>
          <w:szCs w:val="21"/>
          <w:color w:val="auto"/>
        </w:rPr>
        <w:t>5.8</w:t>
      </w:r>
      <w:r>
        <w:rPr>
          <w:sz w:val="20"/>
          <w:szCs w:val="20"/>
          <w:color w:val="auto"/>
        </w:rPr>
        <w:tab/>
      </w: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In case any one or more of the provisions contained in this</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Amendment shall for any reason be held to be invalid, illegal or unenforceable in any respect, such invalidity, illegality, or unenforceability shall not affect any other provision hereof, and this Amendment shall be construed as if such invalid, illegal, or unenforceable provision had never been contained herein.</w:t>
      </w:r>
    </w:p>
    <w:p>
      <w:pPr>
        <w:spacing w:after="0" w:line="186" w:lineRule="exact"/>
        <w:rPr>
          <w:sz w:val="20"/>
          <w:szCs w:val="20"/>
          <w:color w:val="auto"/>
        </w:rPr>
      </w:pPr>
    </w:p>
    <w:p>
      <w:pPr>
        <w:ind w:left="860"/>
        <w:spacing w:after="0"/>
        <w:tabs>
          <w:tab w:leader="none" w:pos="1320" w:val="left"/>
        </w:tabs>
        <w:rPr>
          <w:sz w:val="20"/>
          <w:szCs w:val="20"/>
          <w:color w:val="auto"/>
        </w:rPr>
      </w:pPr>
      <w:r>
        <w:rPr>
          <w:rFonts w:ascii="Arial" w:cs="Arial" w:eastAsia="Arial" w:hAnsi="Arial"/>
          <w:sz w:val="21"/>
          <w:szCs w:val="21"/>
          <w:color w:val="auto"/>
        </w:rPr>
        <w:t>5.9</w:t>
      </w:r>
      <w:r>
        <w:rPr>
          <w:sz w:val="20"/>
          <w:szCs w:val="20"/>
          <w:color w:val="auto"/>
        </w:rPr>
        <w:tab/>
      </w:r>
      <w:r>
        <w:rPr>
          <w:rFonts w:ascii="Arial" w:cs="Arial" w:eastAsia="Arial" w:hAnsi="Arial"/>
          <w:sz w:val="19"/>
          <w:szCs w:val="19"/>
          <w:b w:val="1"/>
          <w:bCs w:val="1"/>
          <w:u w:val="single" w:color="auto"/>
          <w:color w:val="auto"/>
        </w:rPr>
        <w:t>Payment of Expenses</w:t>
      </w:r>
      <w:r>
        <w:rPr>
          <w:rFonts w:ascii="Arial" w:cs="Arial" w:eastAsia="Arial" w:hAnsi="Arial"/>
          <w:sz w:val="19"/>
          <w:szCs w:val="19"/>
          <w:color w:val="auto"/>
        </w:rPr>
        <w:t>. Borrower agrees to pay or reimburse Administrative Agent</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for all of its reasonable out-of-pocket costs and expenses incurred in connection with this Amendment, any other documents prepared in connection herewith and the transactions contemplated hereby, including, without limitation, the reasonable fees and disbursements of counsel to Administrative Agent.</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 xml:space="preserve">5.10 </w:t>
      </w:r>
      <w:r>
        <w:rPr>
          <w:rFonts w:ascii="Arial" w:cs="Arial" w:eastAsia="Arial" w:hAnsi="Arial"/>
          <w:sz w:val="21"/>
          <w:szCs w:val="21"/>
          <w:b w:val="1"/>
          <w:bCs w:val="1"/>
          <w:u w:val="single" w:color="auto"/>
          <w:color w:val="auto"/>
        </w:rPr>
        <w:t>Credit Documents</w:t>
      </w:r>
      <w:r>
        <w:rPr>
          <w:rFonts w:ascii="Arial" w:cs="Arial" w:eastAsia="Arial" w:hAnsi="Arial"/>
          <w:sz w:val="21"/>
          <w:szCs w:val="21"/>
          <w:color w:val="auto"/>
        </w:rPr>
        <w:t>. The Borrower acknowledges and agrees that this Amendment is a Credit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397" w:right="339" w:bottom="1440" w:gutter="0" w:footer="0" w:header="0"/>
        </w:sectPr>
      </w:pPr>
    </w:p>
    <w:bookmarkStart w:id="13" w:name="page14"/>
    <w:bookmarkEnd w:id="13"/>
    <w:p>
      <w:pPr>
        <w:jc w:val="both"/>
        <w:ind w:firstLine="640"/>
        <w:spacing w:after="0" w:line="256" w:lineRule="auto"/>
        <w:rPr>
          <w:sz w:val="20"/>
          <w:szCs w:val="20"/>
          <w:color w:val="auto"/>
        </w:rPr>
      </w:pPr>
      <w:r>
        <w:rPr>
          <w:rFonts w:ascii="Arial" w:cs="Arial" w:eastAsia="Arial" w:hAnsi="Arial"/>
          <w:sz w:val="21"/>
          <w:szCs w:val="21"/>
          <w:color w:val="auto"/>
        </w:rPr>
        <w:t xml:space="preserve">5.11 </w:t>
      </w:r>
      <w:r>
        <w:rPr>
          <w:rFonts w:ascii="Arial" w:cs="Arial" w:eastAsia="Arial" w:hAnsi="Arial"/>
          <w:sz w:val="21"/>
          <w:szCs w:val="21"/>
          <w:b w:val="1"/>
          <w:bCs w:val="1"/>
          <w:u w:val="single" w:color="auto"/>
          <w:color w:val="auto"/>
        </w:rPr>
        <w:t>Governing Law</w:t>
      </w:r>
      <w:r>
        <w:rPr>
          <w:rFonts w:ascii="Arial" w:cs="Arial" w:eastAsia="Arial" w:hAnsi="Arial"/>
          <w:sz w:val="21"/>
          <w:szCs w:val="21"/>
          <w:color w:val="auto"/>
        </w:rPr>
        <w:t>. THIS AMENDMENT AND THE RIGHTS AND OBLIGATIONS OF THE PARTIES HEREUNDER SHALL BE GOVERNED BY, AND CONSTRUED AND INTERPRETED IN ACCORDANCE WITH, THE LAW OF THE STATE OF NEW YORK.</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Pages Follow]</w:t>
      </w:r>
    </w:p>
    <w:p>
      <w:pPr>
        <w:sectPr>
          <w:pgSz w:w="11900" w:h="16838" w:orient="portrait"/>
          <w:cols w:equalWidth="0" w:num="1">
            <w:col w:w="11240"/>
          </w:cols>
          <w:pgMar w:left="320" w:top="13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40"/>
          </w:cols>
          <w:pgMar w:left="320" w:top="1391" w:right="339" w:bottom="1440" w:gutter="0" w:footer="0" w:header="0"/>
          <w:type w:val="continuous"/>
        </w:sectPr>
      </w:pPr>
    </w:p>
    <w:bookmarkStart w:id="14" w:name="page15"/>
    <w:bookmarkEnd w:id="14"/>
    <w:p>
      <w:pPr>
        <w:ind w:firstLine="640"/>
        <w:spacing w:after="0" w:line="281" w:lineRule="auto"/>
        <w:rPr>
          <w:sz w:val="20"/>
          <w:szCs w:val="20"/>
          <w:color w:val="auto"/>
        </w:rPr>
      </w:pPr>
      <w:r>
        <w:rPr>
          <w:rFonts w:ascii="Arial" w:cs="Arial" w:eastAsia="Arial" w:hAnsi="Arial"/>
          <w:sz w:val="21"/>
          <w:szCs w:val="21"/>
          <w:color w:val="auto"/>
        </w:rPr>
        <w:t>IN WITNESS WHEREOF, the parties hereto have caused this Amendment to be duly executed by their respective authorized officers on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3180" w:type="dxa"/>
            <w:vAlign w:val="bottom"/>
          </w:tcPr>
          <w:p>
            <w:pPr>
              <w:spacing w:after="0"/>
              <w:rPr>
                <w:sz w:val="20"/>
                <w:szCs w:val="20"/>
                <w:color w:val="auto"/>
              </w:rPr>
            </w:pPr>
            <w:r>
              <w:rPr>
                <w:rFonts w:ascii="Arial" w:cs="Arial" w:eastAsia="Arial" w:hAnsi="Arial"/>
                <w:sz w:val="20"/>
                <w:szCs w:val="20"/>
                <w:color w:val="auto"/>
              </w:rPr>
              <w:t>BORROWER:</w:t>
            </w:r>
          </w:p>
        </w:tc>
        <w:tc>
          <w:tcPr>
            <w:tcW w:w="8040" w:type="dxa"/>
            <w:vAlign w:val="bottom"/>
            <w:gridSpan w:val="2"/>
          </w:tcPr>
          <w:p>
            <w:pPr>
              <w:ind w:left="2000"/>
              <w:spacing w:after="0"/>
              <w:rPr>
                <w:sz w:val="20"/>
                <w:szCs w:val="20"/>
                <w:color w:val="auto"/>
              </w:rPr>
            </w:pPr>
            <w:r>
              <w:rPr>
                <w:rFonts w:ascii="Arial" w:cs="Arial" w:eastAsia="Arial" w:hAnsi="Arial"/>
                <w:sz w:val="20"/>
                <w:szCs w:val="20"/>
                <w:color w:val="auto"/>
              </w:rPr>
              <w:t>CALIFORNIA RESOURCES CORPORATION</w:t>
            </w:r>
          </w:p>
        </w:tc>
        <w:tc>
          <w:tcPr>
            <w:tcW w:w="0" w:type="dxa"/>
            <w:vAlign w:val="bottom"/>
          </w:tcPr>
          <w:p>
            <w:pPr>
              <w:spacing w:after="0"/>
              <w:rPr>
                <w:sz w:val="1"/>
                <w:szCs w:val="1"/>
                <w:color w:val="auto"/>
              </w:rPr>
            </w:pPr>
          </w:p>
        </w:tc>
      </w:tr>
      <w:tr>
        <w:trPr>
          <w:trHeight w:val="813"/>
        </w:trPr>
        <w:tc>
          <w:tcPr>
            <w:tcW w:w="3180" w:type="dxa"/>
            <w:vAlign w:val="bottom"/>
          </w:tcPr>
          <w:p>
            <w:pPr>
              <w:spacing w:after="0"/>
              <w:rPr>
                <w:sz w:val="24"/>
                <w:szCs w:val="24"/>
                <w:color w:val="auto"/>
              </w:rPr>
            </w:pPr>
          </w:p>
        </w:tc>
        <w:tc>
          <w:tcPr>
            <w:tcW w:w="2940" w:type="dxa"/>
            <w:vAlign w:val="bottom"/>
          </w:tcPr>
          <w:p>
            <w:pPr>
              <w:ind w:left="2000"/>
              <w:spacing w:after="0"/>
              <w:rPr>
                <w:sz w:val="20"/>
                <w:szCs w:val="20"/>
                <w:color w:val="auto"/>
              </w:rPr>
            </w:pPr>
            <w:r>
              <w:rPr>
                <w:rFonts w:ascii="Arial" w:cs="Arial" w:eastAsia="Arial" w:hAnsi="Arial"/>
                <w:sz w:val="20"/>
                <w:szCs w:val="20"/>
                <w:color w:val="auto"/>
              </w:rPr>
              <w:t>By:</w:t>
            </w:r>
          </w:p>
        </w:tc>
        <w:tc>
          <w:tcPr>
            <w:tcW w:w="5100" w:type="dxa"/>
            <w:vAlign w:val="bottom"/>
          </w:tcPr>
          <w:p>
            <w:pPr>
              <w:ind w:left="20"/>
              <w:spacing w:after="0"/>
              <w:rPr>
                <w:sz w:val="20"/>
                <w:szCs w:val="20"/>
                <w:color w:val="auto"/>
              </w:rPr>
            </w:pPr>
            <w:r>
              <w:rPr>
                <w:rFonts w:ascii="Arial" w:cs="Arial" w:eastAsia="Arial" w:hAnsi="Arial"/>
                <w:sz w:val="20"/>
                <w:szCs w:val="20"/>
                <w:color w:val="auto"/>
              </w:rPr>
              <w:t>/s/ Francisco Leon</w:t>
            </w:r>
          </w:p>
        </w:tc>
        <w:tc>
          <w:tcPr>
            <w:tcW w:w="0" w:type="dxa"/>
            <w:vAlign w:val="bottom"/>
          </w:tcPr>
          <w:p>
            <w:pPr>
              <w:spacing w:after="0"/>
              <w:rPr>
                <w:sz w:val="1"/>
                <w:szCs w:val="1"/>
                <w:color w:val="auto"/>
              </w:rPr>
            </w:pPr>
          </w:p>
        </w:tc>
      </w:tr>
      <w:tr>
        <w:trPr>
          <w:trHeight w:val="22"/>
        </w:trPr>
        <w:tc>
          <w:tcPr>
            <w:tcW w:w="3180" w:type="dxa"/>
            <w:vAlign w:val="bottom"/>
          </w:tcPr>
          <w:p>
            <w:pPr>
              <w:spacing w:after="0" w:line="20" w:lineRule="exact"/>
              <w:rPr>
                <w:sz w:val="1"/>
                <w:szCs w:val="1"/>
                <w:color w:val="auto"/>
              </w:rPr>
            </w:pPr>
          </w:p>
        </w:tc>
        <w:tc>
          <w:tcPr>
            <w:tcW w:w="2940" w:type="dxa"/>
            <w:vAlign w:val="bottom"/>
            <w:vMerge w:val="restart"/>
          </w:tcPr>
          <w:p>
            <w:pPr>
              <w:ind w:left="2000"/>
              <w:spacing w:after="0"/>
              <w:rPr>
                <w:sz w:val="20"/>
                <w:szCs w:val="20"/>
                <w:color w:val="auto"/>
              </w:rPr>
            </w:pPr>
            <w:r>
              <w:rPr>
                <w:rFonts w:ascii="Arial" w:cs="Arial" w:eastAsia="Arial" w:hAnsi="Arial"/>
                <w:sz w:val="20"/>
                <w:szCs w:val="20"/>
                <w:color w:val="auto"/>
              </w:rPr>
              <w:t>Name:</w:t>
            </w:r>
          </w:p>
        </w:tc>
        <w:tc>
          <w:tcPr>
            <w:tcW w:w="5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1"/>
        </w:trPr>
        <w:tc>
          <w:tcPr>
            <w:tcW w:w="3180" w:type="dxa"/>
            <w:vAlign w:val="bottom"/>
          </w:tcPr>
          <w:p>
            <w:pPr>
              <w:spacing w:after="0"/>
              <w:rPr>
                <w:sz w:val="21"/>
                <w:szCs w:val="21"/>
                <w:color w:val="auto"/>
              </w:rPr>
            </w:pPr>
          </w:p>
        </w:tc>
        <w:tc>
          <w:tcPr>
            <w:tcW w:w="2940" w:type="dxa"/>
            <w:vAlign w:val="bottom"/>
            <w:vMerge w:val="continue"/>
          </w:tcPr>
          <w:p>
            <w:pPr>
              <w:spacing w:after="0"/>
              <w:rPr>
                <w:sz w:val="21"/>
                <w:szCs w:val="21"/>
                <w:color w:val="auto"/>
              </w:rPr>
            </w:pPr>
          </w:p>
        </w:tc>
        <w:tc>
          <w:tcPr>
            <w:tcW w:w="5100" w:type="dxa"/>
            <w:vAlign w:val="bottom"/>
          </w:tcPr>
          <w:p>
            <w:pPr>
              <w:ind w:left="20"/>
              <w:spacing w:after="0"/>
              <w:rPr>
                <w:sz w:val="20"/>
                <w:szCs w:val="20"/>
                <w:color w:val="auto"/>
              </w:rPr>
            </w:pPr>
            <w:r>
              <w:rPr>
                <w:rFonts w:ascii="Arial" w:cs="Arial" w:eastAsia="Arial" w:hAnsi="Arial"/>
                <w:sz w:val="20"/>
                <w:szCs w:val="20"/>
                <w:color w:val="auto"/>
              </w:rPr>
              <w:t>Francisco Leon</w:t>
            </w:r>
          </w:p>
        </w:tc>
        <w:tc>
          <w:tcPr>
            <w:tcW w:w="0" w:type="dxa"/>
            <w:vAlign w:val="bottom"/>
          </w:tcPr>
          <w:p>
            <w:pPr>
              <w:spacing w:after="0"/>
              <w:rPr>
                <w:sz w:val="1"/>
                <w:szCs w:val="1"/>
                <w:color w:val="auto"/>
              </w:rPr>
            </w:pPr>
          </w:p>
        </w:tc>
      </w:tr>
      <w:tr>
        <w:trPr>
          <w:trHeight w:val="258"/>
        </w:trPr>
        <w:tc>
          <w:tcPr>
            <w:tcW w:w="3180" w:type="dxa"/>
            <w:vAlign w:val="bottom"/>
          </w:tcPr>
          <w:p>
            <w:pPr>
              <w:spacing w:after="0"/>
              <w:rPr>
                <w:sz w:val="22"/>
                <w:szCs w:val="22"/>
                <w:color w:val="auto"/>
              </w:rPr>
            </w:pPr>
          </w:p>
        </w:tc>
        <w:tc>
          <w:tcPr>
            <w:tcW w:w="2940" w:type="dxa"/>
            <w:vAlign w:val="bottom"/>
          </w:tcPr>
          <w:p>
            <w:pPr>
              <w:ind w:left="2000"/>
              <w:spacing w:after="0"/>
              <w:rPr>
                <w:sz w:val="20"/>
                <w:szCs w:val="20"/>
                <w:color w:val="auto"/>
              </w:rPr>
            </w:pPr>
            <w:r>
              <w:rPr>
                <w:rFonts w:ascii="Arial" w:cs="Arial" w:eastAsia="Arial" w:hAnsi="Arial"/>
                <w:sz w:val="20"/>
                <w:szCs w:val="20"/>
                <w:color w:val="auto"/>
              </w:rPr>
              <w:t>Title:</w:t>
            </w:r>
          </w:p>
        </w:tc>
        <w:tc>
          <w:tcPr>
            <w:tcW w:w="5100" w:type="dxa"/>
            <w:vAlign w:val="bottom"/>
          </w:tcPr>
          <w:p>
            <w:pPr>
              <w:ind w:left="20"/>
              <w:spacing w:after="0"/>
              <w:rPr>
                <w:sz w:val="20"/>
                <w:szCs w:val="20"/>
                <w:color w:val="auto"/>
              </w:rPr>
            </w:pPr>
            <w:r>
              <w:rPr>
                <w:rFonts w:ascii="Arial" w:cs="Arial" w:eastAsia="Arial" w:hAnsi="Arial"/>
                <w:sz w:val="20"/>
                <w:szCs w:val="20"/>
                <w:color w:val="auto"/>
              </w:rPr>
              <w:t>Executive Vice President and</w:t>
            </w:r>
          </w:p>
        </w:tc>
        <w:tc>
          <w:tcPr>
            <w:tcW w:w="0" w:type="dxa"/>
            <w:vAlign w:val="bottom"/>
          </w:tcPr>
          <w:p>
            <w:pPr>
              <w:spacing w:after="0"/>
              <w:rPr>
                <w:sz w:val="1"/>
                <w:szCs w:val="1"/>
                <w:color w:val="auto"/>
              </w:rPr>
            </w:pPr>
          </w:p>
        </w:tc>
      </w:tr>
      <w:tr>
        <w:trPr>
          <w:trHeight w:val="248"/>
        </w:trPr>
        <w:tc>
          <w:tcPr>
            <w:tcW w:w="318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5100" w:type="dxa"/>
            <w:vAlign w:val="bottom"/>
          </w:tcPr>
          <w:p>
            <w:pPr>
              <w:ind w:left="20"/>
              <w:spacing w:after="0"/>
              <w:rPr>
                <w:sz w:val="20"/>
                <w:szCs w:val="20"/>
                <w:color w:val="auto"/>
              </w:rPr>
            </w:pPr>
            <w:r>
              <w:rPr>
                <w:rFonts w:ascii="Arial" w:cs="Arial" w:eastAsia="Arial" w:hAnsi="Arial"/>
                <w:sz w:val="20"/>
                <w:szCs w:val="20"/>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w:t>
      </w:r>
      <w:r>
        <w:rPr>
          <w:rFonts w:ascii="Arial" w:cs="Arial" w:eastAsia="Arial" w:hAnsi="Arial"/>
          <w:sz w:val="12"/>
          <w:szCs w:val="12"/>
          <w:color w:val="auto"/>
        </w:rPr>
        <w:t>IGNATURE</w:t>
      </w:r>
      <w:r>
        <w:rPr>
          <w:rFonts w:ascii="Arial" w:cs="Arial" w:eastAsia="Arial" w:hAnsi="Arial"/>
          <w:sz w:val="16"/>
          <w:szCs w:val="16"/>
          <w:color w:val="auto"/>
        </w:rPr>
        <w:t xml:space="preserve"> P</w:t>
      </w:r>
      <w:r>
        <w:rPr>
          <w:rFonts w:ascii="Arial" w:cs="Arial" w:eastAsia="Arial" w:hAnsi="Arial"/>
          <w:sz w:val="12"/>
          <w:szCs w:val="12"/>
          <w:color w:val="auto"/>
        </w:rPr>
        <w:t>AGE</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w:t>
      </w:r>
      <w:r>
        <w:rPr>
          <w:rFonts w:ascii="Arial" w:cs="Arial" w:eastAsia="Arial" w:hAnsi="Arial"/>
          <w:sz w:val="12"/>
          <w:szCs w:val="12"/>
          <w:color w:val="auto"/>
        </w:rPr>
        <w:t>IRST</w:t>
      </w:r>
      <w:r>
        <w:rPr>
          <w:rFonts w:ascii="Arial" w:cs="Arial" w:eastAsia="Arial" w:hAnsi="Arial"/>
          <w:sz w:val="16"/>
          <w:szCs w:val="16"/>
          <w:color w:val="auto"/>
        </w:rPr>
        <w:t xml:space="preserve"> A</w:t>
      </w:r>
      <w:r>
        <w:rPr>
          <w:rFonts w:ascii="Arial" w:cs="Arial" w:eastAsia="Arial" w:hAnsi="Arial"/>
          <w:sz w:val="12"/>
          <w:szCs w:val="12"/>
          <w:color w:val="auto"/>
        </w:rPr>
        <w:t>MENDMENT –</w:t>
      </w:r>
      <w:r>
        <w:rPr>
          <w:rFonts w:ascii="Arial" w:cs="Arial" w:eastAsia="Arial" w:hAnsi="Arial"/>
          <w:sz w:val="16"/>
          <w:szCs w:val="16"/>
          <w:color w:val="auto"/>
        </w:rPr>
        <w:t xml:space="preserve"> C</w:t>
      </w:r>
      <w:r>
        <w:rPr>
          <w:rFonts w:ascii="Arial" w:cs="Arial" w:eastAsia="Arial" w:hAnsi="Arial"/>
          <w:sz w:val="12"/>
          <w:szCs w:val="12"/>
          <w:color w:val="auto"/>
        </w:rPr>
        <w:t>ALIFORNIA</w:t>
      </w:r>
      <w:r>
        <w:rPr>
          <w:rFonts w:ascii="Arial" w:cs="Arial" w:eastAsia="Arial" w:hAnsi="Arial"/>
          <w:sz w:val="16"/>
          <w:szCs w:val="16"/>
          <w:color w:val="auto"/>
        </w:rPr>
        <w:t xml:space="preserve"> R</w:t>
      </w:r>
      <w:r>
        <w:rPr>
          <w:rFonts w:ascii="Arial" w:cs="Arial" w:eastAsia="Arial" w:hAnsi="Arial"/>
          <w:sz w:val="12"/>
          <w:szCs w:val="12"/>
          <w:color w:val="auto"/>
        </w:rPr>
        <w:t>ESOURCES</w:t>
      </w:r>
      <w:r>
        <w:rPr>
          <w:rFonts w:ascii="Arial" w:cs="Arial" w:eastAsia="Arial" w:hAnsi="Arial"/>
          <w:sz w:val="16"/>
          <w:szCs w:val="16"/>
          <w:color w:val="auto"/>
        </w:rPr>
        <w:t xml:space="preserve"> C</w:t>
      </w:r>
      <w:r>
        <w:rPr>
          <w:rFonts w:ascii="Arial" w:cs="Arial" w:eastAsia="Arial" w:hAnsi="Arial"/>
          <w:sz w:val="12"/>
          <w:szCs w:val="12"/>
          <w:color w:val="auto"/>
        </w:rPr>
        <w:t>ORPORATION</w:t>
      </w:r>
    </w:p>
    <w:p>
      <w:pPr>
        <w:sectPr>
          <w:pgSz w:w="11900" w:h="16838" w:orient="portrait"/>
          <w:cols w:equalWidth="0" w:num="1">
            <w:col w:w="11240"/>
          </w:cols>
          <w:pgMar w:left="320" w:top="1411" w:right="339" w:bottom="1440" w:gutter="0" w:footer="0" w:header="0"/>
        </w:sectPr>
      </w:pPr>
    </w:p>
    <w:bookmarkStart w:id="15" w:name="page16"/>
    <w:bookmarkEnd w:id="15"/>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720" w:type="dxa"/>
            <w:vAlign w:val="bottom"/>
          </w:tcPr>
          <w:p>
            <w:pPr>
              <w:spacing w:after="0"/>
              <w:rPr>
                <w:sz w:val="20"/>
                <w:szCs w:val="20"/>
                <w:color w:val="auto"/>
              </w:rPr>
            </w:pPr>
            <w:r>
              <w:rPr>
                <w:rFonts w:ascii="Arial" w:cs="Arial" w:eastAsia="Arial" w:hAnsi="Arial"/>
                <w:sz w:val="20"/>
                <w:szCs w:val="20"/>
                <w:color w:val="auto"/>
              </w:rPr>
              <w:t>SUBSIDIARY GRANTORS:</w:t>
            </w:r>
          </w:p>
        </w:tc>
        <w:tc>
          <w:tcPr>
            <w:tcW w:w="7440" w:type="dxa"/>
            <w:vAlign w:val="bottom"/>
            <w:gridSpan w:val="3"/>
          </w:tcPr>
          <w:p>
            <w:pPr>
              <w:ind w:left="1440"/>
              <w:spacing w:after="0"/>
              <w:rPr>
                <w:sz w:val="20"/>
                <w:szCs w:val="20"/>
                <w:color w:val="auto"/>
              </w:rPr>
            </w:pPr>
            <w:r>
              <w:rPr>
                <w:rFonts w:ascii="Arial" w:cs="Arial" w:eastAsia="Arial" w:hAnsi="Arial"/>
                <w:sz w:val="21"/>
                <w:szCs w:val="21"/>
                <w:color w:val="auto"/>
              </w:rPr>
              <w:t>CALIFORNIA RESOURCES COLES LEVEE, LLC</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720" w:type="dxa"/>
            <w:vAlign w:val="bottom"/>
          </w:tcPr>
          <w:p>
            <w:pPr>
              <w:spacing w:after="0"/>
              <w:rPr>
                <w:sz w:val="22"/>
                <w:szCs w:val="22"/>
                <w:color w:val="auto"/>
              </w:rPr>
            </w:pPr>
          </w:p>
        </w:tc>
        <w:tc>
          <w:tcPr>
            <w:tcW w:w="7440" w:type="dxa"/>
            <w:vAlign w:val="bottom"/>
            <w:gridSpan w:val="3"/>
          </w:tcPr>
          <w:p>
            <w:pPr>
              <w:ind w:left="1440"/>
              <w:spacing w:after="0"/>
              <w:rPr>
                <w:sz w:val="20"/>
                <w:szCs w:val="20"/>
                <w:color w:val="auto"/>
              </w:rPr>
            </w:pPr>
            <w:r>
              <w:rPr>
                <w:rFonts w:ascii="Arial" w:cs="Arial" w:eastAsia="Arial" w:hAnsi="Arial"/>
                <w:sz w:val="21"/>
                <w:szCs w:val="21"/>
                <w:color w:val="auto"/>
              </w:rPr>
              <w:t>CALIFORNIA RESOURCES ELK HILLS, LLC</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720" w:type="dxa"/>
            <w:vAlign w:val="bottom"/>
          </w:tcPr>
          <w:p>
            <w:pPr>
              <w:spacing w:after="0"/>
              <w:rPr>
                <w:sz w:val="22"/>
                <w:szCs w:val="22"/>
                <w:color w:val="auto"/>
              </w:rPr>
            </w:pPr>
          </w:p>
        </w:tc>
        <w:tc>
          <w:tcPr>
            <w:tcW w:w="7440" w:type="dxa"/>
            <w:vAlign w:val="bottom"/>
            <w:gridSpan w:val="3"/>
          </w:tcPr>
          <w:p>
            <w:pPr>
              <w:ind w:left="1440"/>
              <w:spacing w:after="0"/>
              <w:rPr>
                <w:sz w:val="20"/>
                <w:szCs w:val="20"/>
                <w:color w:val="auto"/>
              </w:rPr>
            </w:pPr>
            <w:r>
              <w:rPr>
                <w:rFonts w:ascii="Arial" w:cs="Arial" w:eastAsia="Arial" w:hAnsi="Arial"/>
                <w:sz w:val="21"/>
                <w:szCs w:val="21"/>
                <w:color w:val="auto"/>
              </w:rPr>
              <w:t>CALIFORNIA RESOURCES LONG BEACH, INC.</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720" w:type="dxa"/>
            <w:vAlign w:val="bottom"/>
          </w:tcPr>
          <w:p>
            <w:pPr>
              <w:spacing w:after="0"/>
              <w:rPr>
                <w:sz w:val="22"/>
                <w:szCs w:val="22"/>
                <w:color w:val="auto"/>
              </w:rPr>
            </w:pPr>
          </w:p>
        </w:tc>
        <w:tc>
          <w:tcPr>
            <w:tcW w:w="7440" w:type="dxa"/>
            <w:vAlign w:val="bottom"/>
            <w:gridSpan w:val="3"/>
          </w:tcPr>
          <w:p>
            <w:pPr>
              <w:ind w:left="1440"/>
              <w:spacing w:after="0"/>
              <w:rPr>
                <w:sz w:val="20"/>
                <w:szCs w:val="20"/>
                <w:color w:val="auto"/>
              </w:rPr>
            </w:pPr>
            <w:r>
              <w:rPr>
                <w:rFonts w:ascii="Arial" w:cs="Arial" w:eastAsia="Arial" w:hAnsi="Arial"/>
                <w:sz w:val="21"/>
                <w:szCs w:val="21"/>
                <w:color w:val="auto"/>
              </w:rPr>
              <w:t>CALIFORNIA RESOURCES PETROLEUM CORPORATION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720" w:type="dxa"/>
            <w:vAlign w:val="bottom"/>
          </w:tcPr>
          <w:p>
            <w:pPr>
              <w:spacing w:after="0"/>
              <w:rPr>
                <w:sz w:val="22"/>
                <w:szCs w:val="22"/>
                <w:color w:val="auto"/>
              </w:rPr>
            </w:pPr>
          </w:p>
        </w:tc>
        <w:tc>
          <w:tcPr>
            <w:tcW w:w="7440" w:type="dxa"/>
            <w:vAlign w:val="bottom"/>
            <w:gridSpan w:val="3"/>
          </w:tcPr>
          <w:p>
            <w:pPr>
              <w:ind w:left="1440"/>
              <w:spacing w:after="0"/>
              <w:rPr>
                <w:sz w:val="20"/>
                <w:szCs w:val="20"/>
                <w:color w:val="auto"/>
              </w:rPr>
            </w:pPr>
            <w:r>
              <w:rPr>
                <w:rFonts w:ascii="Arial" w:cs="Arial" w:eastAsia="Arial" w:hAnsi="Arial"/>
                <w:sz w:val="21"/>
                <w:szCs w:val="21"/>
                <w:color w:val="auto"/>
              </w:rPr>
              <w:t>CALIFORNIA RESOURCES PRODUCTION CORPORATION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720" w:type="dxa"/>
            <w:vAlign w:val="bottom"/>
          </w:tcPr>
          <w:p>
            <w:pPr>
              <w:spacing w:after="0"/>
              <w:rPr>
                <w:sz w:val="22"/>
                <w:szCs w:val="22"/>
                <w:color w:val="auto"/>
              </w:rPr>
            </w:pPr>
          </w:p>
        </w:tc>
        <w:tc>
          <w:tcPr>
            <w:tcW w:w="7440" w:type="dxa"/>
            <w:vAlign w:val="bottom"/>
            <w:gridSpan w:val="3"/>
          </w:tcPr>
          <w:p>
            <w:pPr>
              <w:ind w:left="1440"/>
              <w:spacing w:after="0"/>
              <w:rPr>
                <w:sz w:val="20"/>
                <w:szCs w:val="20"/>
                <w:color w:val="auto"/>
              </w:rPr>
            </w:pPr>
            <w:r>
              <w:rPr>
                <w:rFonts w:ascii="Arial" w:cs="Arial" w:eastAsia="Arial" w:hAnsi="Arial"/>
                <w:sz w:val="21"/>
                <w:szCs w:val="21"/>
                <w:color w:val="auto"/>
              </w:rPr>
              <w:t>CALIFORNIA RESOURCES REAL ESTATE VENTURES, LLC</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720" w:type="dxa"/>
            <w:vAlign w:val="bottom"/>
          </w:tcPr>
          <w:p>
            <w:pPr>
              <w:spacing w:after="0"/>
              <w:rPr>
                <w:sz w:val="22"/>
                <w:szCs w:val="22"/>
                <w:color w:val="auto"/>
              </w:rPr>
            </w:pPr>
          </w:p>
        </w:tc>
        <w:tc>
          <w:tcPr>
            <w:tcW w:w="7440" w:type="dxa"/>
            <w:vAlign w:val="bottom"/>
            <w:gridSpan w:val="3"/>
          </w:tcPr>
          <w:p>
            <w:pPr>
              <w:ind w:left="1440"/>
              <w:spacing w:after="0"/>
              <w:rPr>
                <w:sz w:val="20"/>
                <w:szCs w:val="20"/>
                <w:color w:val="auto"/>
              </w:rPr>
            </w:pPr>
            <w:r>
              <w:rPr>
                <w:rFonts w:ascii="Arial" w:cs="Arial" w:eastAsia="Arial" w:hAnsi="Arial"/>
                <w:sz w:val="21"/>
                <w:szCs w:val="21"/>
                <w:color w:val="auto"/>
              </w:rPr>
              <w:t>CALIFORNIA RESOURCES ROYALTY HOLDINGS, LLC</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720" w:type="dxa"/>
            <w:vAlign w:val="bottom"/>
          </w:tcPr>
          <w:p>
            <w:pPr>
              <w:spacing w:after="0"/>
              <w:rPr>
                <w:sz w:val="22"/>
                <w:szCs w:val="22"/>
                <w:color w:val="auto"/>
              </w:rPr>
            </w:pPr>
          </w:p>
        </w:tc>
        <w:tc>
          <w:tcPr>
            <w:tcW w:w="7440" w:type="dxa"/>
            <w:vAlign w:val="bottom"/>
            <w:gridSpan w:val="3"/>
          </w:tcPr>
          <w:p>
            <w:pPr>
              <w:ind w:left="1440"/>
              <w:spacing w:after="0"/>
              <w:rPr>
                <w:sz w:val="20"/>
                <w:szCs w:val="20"/>
                <w:color w:val="auto"/>
              </w:rPr>
            </w:pPr>
            <w:r>
              <w:rPr>
                <w:rFonts w:ascii="Arial" w:cs="Arial" w:eastAsia="Arial" w:hAnsi="Arial"/>
                <w:sz w:val="21"/>
                <w:szCs w:val="21"/>
                <w:color w:val="auto"/>
              </w:rPr>
              <w:t>CALIFORNIA RESOURCES TIDELANDS, INC.</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720" w:type="dxa"/>
            <w:vAlign w:val="bottom"/>
          </w:tcPr>
          <w:p>
            <w:pPr>
              <w:spacing w:after="0"/>
              <w:rPr>
                <w:sz w:val="22"/>
                <w:szCs w:val="22"/>
                <w:color w:val="auto"/>
              </w:rPr>
            </w:pPr>
          </w:p>
        </w:tc>
        <w:tc>
          <w:tcPr>
            <w:tcW w:w="7440" w:type="dxa"/>
            <w:vAlign w:val="bottom"/>
            <w:gridSpan w:val="3"/>
          </w:tcPr>
          <w:p>
            <w:pPr>
              <w:ind w:left="1440"/>
              <w:spacing w:after="0"/>
              <w:rPr>
                <w:sz w:val="20"/>
                <w:szCs w:val="20"/>
                <w:color w:val="auto"/>
              </w:rPr>
            </w:pPr>
            <w:r>
              <w:rPr>
                <w:rFonts w:ascii="Arial" w:cs="Arial" w:eastAsia="Arial" w:hAnsi="Arial"/>
                <w:sz w:val="21"/>
                <w:szCs w:val="21"/>
                <w:color w:val="auto"/>
              </w:rPr>
              <w:t>CALIFORNIA RESOURCES WILMINGTON, LLC</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720" w:type="dxa"/>
            <w:vAlign w:val="bottom"/>
          </w:tcPr>
          <w:p>
            <w:pPr>
              <w:spacing w:after="0"/>
              <w:rPr>
                <w:sz w:val="22"/>
                <w:szCs w:val="22"/>
                <w:color w:val="auto"/>
              </w:rPr>
            </w:pPr>
          </w:p>
        </w:tc>
        <w:tc>
          <w:tcPr>
            <w:tcW w:w="7440" w:type="dxa"/>
            <w:vAlign w:val="bottom"/>
            <w:gridSpan w:val="3"/>
          </w:tcPr>
          <w:p>
            <w:pPr>
              <w:ind w:left="1440"/>
              <w:spacing w:after="0"/>
              <w:rPr>
                <w:sz w:val="20"/>
                <w:szCs w:val="20"/>
                <w:color w:val="auto"/>
              </w:rPr>
            </w:pPr>
            <w:r>
              <w:rPr>
                <w:rFonts w:ascii="Arial" w:cs="Arial" w:eastAsia="Arial" w:hAnsi="Arial"/>
                <w:sz w:val="21"/>
                <w:szCs w:val="21"/>
                <w:color w:val="auto"/>
              </w:rPr>
              <w:t>CRC CONSTRUCTION SERVICES, LLC</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720" w:type="dxa"/>
            <w:vAlign w:val="bottom"/>
          </w:tcPr>
          <w:p>
            <w:pPr>
              <w:spacing w:after="0"/>
              <w:rPr>
                <w:sz w:val="22"/>
                <w:szCs w:val="22"/>
                <w:color w:val="auto"/>
              </w:rPr>
            </w:pPr>
          </w:p>
        </w:tc>
        <w:tc>
          <w:tcPr>
            <w:tcW w:w="7440" w:type="dxa"/>
            <w:vAlign w:val="bottom"/>
            <w:gridSpan w:val="3"/>
          </w:tcPr>
          <w:p>
            <w:pPr>
              <w:ind w:left="1440"/>
              <w:spacing w:after="0"/>
              <w:rPr>
                <w:sz w:val="20"/>
                <w:szCs w:val="20"/>
                <w:color w:val="auto"/>
              </w:rPr>
            </w:pPr>
            <w:r>
              <w:rPr>
                <w:rFonts w:ascii="Arial" w:cs="Arial" w:eastAsia="Arial" w:hAnsi="Arial"/>
                <w:sz w:val="21"/>
                <w:szCs w:val="21"/>
                <w:color w:val="auto"/>
              </w:rPr>
              <w:t>CRC MARKETING, INC.</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720" w:type="dxa"/>
            <w:vAlign w:val="bottom"/>
          </w:tcPr>
          <w:p>
            <w:pPr>
              <w:spacing w:after="0"/>
              <w:rPr>
                <w:sz w:val="22"/>
                <w:szCs w:val="22"/>
                <w:color w:val="auto"/>
              </w:rPr>
            </w:pPr>
          </w:p>
        </w:tc>
        <w:tc>
          <w:tcPr>
            <w:tcW w:w="7440" w:type="dxa"/>
            <w:vAlign w:val="bottom"/>
            <w:gridSpan w:val="3"/>
          </w:tcPr>
          <w:p>
            <w:pPr>
              <w:ind w:left="1440"/>
              <w:spacing w:after="0"/>
              <w:rPr>
                <w:sz w:val="20"/>
                <w:szCs w:val="20"/>
                <w:color w:val="auto"/>
              </w:rPr>
            </w:pPr>
            <w:r>
              <w:rPr>
                <w:rFonts w:ascii="Arial" w:cs="Arial" w:eastAsia="Arial" w:hAnsi="Arial"/>
                <w:sz w:val="21"/>
                <w:szCs w:val="21"/>
                <w:color w:val="auto"/>
              </w:rPr>
              <w:t>CRC SERVICES, LLC</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720" w:type="dxa"/>
            <w:vAlign w:val="bottom"/>
          </w:tcPr>
          <w:p>
            <w:pPr>
              <w:spacing w:after="0"/>
              <w:rPr>
                <w:sz w:val="22"/>
                <w:szCs w:val="22"/>
                <w:color w:val="auto"/>
              </w:rPr>
            </w:pPr>
          </w:p>
        </w:tc>
        <w:tc>
          <w:tcPr>
            <w:tcW w:w="7440" w:type="dxa"/>
            <w:vAlign w:val="bottom"/>
            <w:gridSpan w:val="3"/>
          </w:tcPr>
          <w:p>
            <w:pPr>
              <w:ind w:left="1440"/>
              <w:spacing w:after="0"/>
              <w:rPr>
                <w:sz w:val="20"/>
                <w:szCs w:val="20"/>
                <w:color w:val="auto"/>
              </w:rPr>
            </w:pPr>
            <w:r>
              <w:rPr>
                <w:rFonts w:ascii="Arial" w:cs="Arial" w:eastAsia="Arial" w:hAnsi="Arial"/>
                <w:sz w:val="21"/>
                <w:szCs w:val="21"/>
                <w:color w:val="auto"/>
              </w:rPr>
              <w:t>SOCAL HOLDING, LLC</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720" w:type="dxa"/>
            <w:vAlign w:val="bottom"/>
          </w:tcPr>
          <w:p>
            <w:pPr>
              <w:spacing w:after="0"/>
              <w:rPr>
                <w:sz w:val="22"/>
                <w:szCs w:val="22"/>
                <w:color w:val="auto"/>
              </w:rPr>
            </w:pPr>
          </w:p>
        </w:tc>
        <w:tc>
          <w:tcPr>
            <w:tcW w:w="7440" w:type="dxa"/>
            <w:vAlign w:val="bottom"/>
            <w:gridSpan w:val="3"/>
          </w:tcPr>
          <w:p>
            <w:pPr>
              <w:ind w:left="1440"/>
              <w:spacing w:after="0"/>
              <w:rPr>
                <w:sz w:val="20"/>
                <w:szCs w:val="20"/>
                <w:color w:val="auto"/>
              </w:rPr>
            </w:pPr>
            <w:r>
              <w:rPr>
                <w:rFonts w:ascii="Arial" w:cs="Arial" w:eastAsia="Arial" w:hAnsi="Arial"/>
                <w:sz w:val="21"/>
                <w:szCs w:val="21"/>
                <w:color w:val="auto"/>
              </w:rPr>
              <w:t>SOUTHERN SAN JOAQUIN PRODUCTION, INC.</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720" w:type="dxa"/>
            <w:vAlign w:val="bottom"/>
          </w:tcPr>
          <w:p>
            <w:pPr>
              <w:spacing w:after="0"/>
              <w:rPr>
                <w:sz w:val="22"/>
                <w:szCs w:val="22"/>
                <w:color w:val="auto"/>
              </w:rPr>
            </w:pPr>
          </w:p>
        </w:tc>
        <w:tc>
          <w:tcPr>
            <w:tcW w:w="7440" w:type="dxa"/>
            <w:vAlign w:val="bottom"/>
            <w:gridSpan w:val="3"/>
          </w:tcPr>
          <w:p>
            <w:pPr>
              <w:ind w:left="1440"/>
              <w:spacing w:after="0"/>
              <w:rPr>
                <w:sz w:val="20"/>
                <w:szCs w:val="20"/>
                <w:color w:val="auto"/>
              </w:rPr>
            </w:pPr>
            <w:r>
              <w:rPr>
                <w:rFonts w:ascii="Arial" w:cs="Arial" w:eastAsia="Arial" w:hAnsi="Arial"/>
                <w:sz w:val="21"/>
                <w:szCs w:val="21"/>
                <w:color w:val="auto"/>
              </w:rPr>
              <w:t>THUMS LONG BEACH COMPANY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720" w:type="dxa"/>
            <w:vAlign w:val="bottom"/>
          </w:tcPr>
          <w:p>
            <w:pPr>
              <w:spacing w:after="0"/>
              <w:rPr>
                <w:sz w:val="22"/>
                <w:szCs w:val="22"/>
                <w:color w:val="auto"/>
              </w:rPr>
            </w:pPr>
          </w:p>
        </w:tc>
        <w:tc>
          <w:tcPr>
            <w:tcW w:w="7440" w:type="dxa"/>
            <w:vAlign w:val="bottom"/>
            <w:gridSpan w:val="3"/>
          </w:tcPr>
          <w:p>
            <w:pPr>
              <w:ind w:left="1440"/>
              <w:spacing w:after="0"/>
              <w:rPr>
                <w:sz w:val="20"/>
                <w:szCs w:val="20"/>
                <w:color w:val="auto"/>
              </w:rPr>
            </w:pPr>
            <w:r>
              <w:rPr>
                <w:rFonts w:ascii="Arial" w:cs="Arial" w:eastAsia="Arial" w:hAnsi="Arial"/>
                <w:sz w:val="21"/>
                <w:szCs w:val="21"/>
                <w:color w:val="auto"/>
              </w:rPr>
              <w:t>TIDELANDS OIL PRODUCTION COMPANY LLC</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720" w:type="dxa"/>
            <w:vAlign w:val="bottom"/>
          </w:tcPr>
          <w:p>
            <w:pPr>
              <w:spacing w:after="0"/>
              <w:rPr>
                <w:sz w:val="22"/>
                <w:szCs w:val="22"/>
                <w:color w:val="auto"/>
              </w:rPr>
            </w:pPr>
          </w:p>
        </w:tc>
        <w:tc>
          <w:tcPr>
            <w:tcW w:w="7440" w:type="dxa"/>
            <w:vAlign w:val="bottom"/>
            <w:gridSpan w:val="3"/>
          </w:tcPr>
          <w:p>
            <w:pPr>
              <w:ind w:left="1440"/>
              <w:spacing w:after="0"/>
              <w:rPr>
                <w:sz w:val="20"/>
                <w:szCs w:val="20"/>
                <w:color w:val="auto"/>
              </w:rPr>
            </w:pPr>
            <w:r>
              <w:rPr>
                <w:rFonts w:ascii="Arial" w:cs="Arial" w:eastAsia="Arial" w:hAnsi="Arial"/>
                <w:sz w:val="21"/>
                <w:szCs w:val="21"/>
                <w:color w:val="auto"/>
              </w:rPr>
              <w:t>CALIFORNIA HEAVY OIL, INC.</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720" w:type="dxa"/>
            <w:vAlign w:val="bottom"/>
          </w:tcPr>
          <w:p>
            <w:pPr>
              <w:spacing w:after="0"/>
              <w:rPr>
                <w:sz w:val="22"/>
                <w:szCs w:val="22"/>
                <w:color w:val="auto"/>
              </w:rPr>
            </w:pPr>
          </w:p>
        </w:tc>
        <w:tc>
          <w:tcPr>
            <w:tcW w:w="7440" w:type="dxa"/>
            <w:vAlign w:val="bottom"/>
            <w:gridSpan w:val="3"/>
          </w:tcPr>
          <w:p>
            <w:pPr>
              <w:ind w:left="1440"/>
              <w:spacing w:after="0"/>
              <w:rPr>
                <w:sz w:val="20"/>
                <w:szCs w:val="20"/>
                <w:color w:val="auto"/>
              </w:rPr>
            </w:pPr>
            <w:r>
              <w:rPr>
                <w:rFonts w:ascii="Arial" w:cs="Arial" w:eastAsia="Arial" w:hAnsi="Arial"/>
                <w:sz w:val="21"/>
                <w:szCs w:val="21"/>
                <w:color w:val="auto"/>
              </w:rPr>
              <w:t>ELK HILLS POWER, LLC</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720" w:type="dxa"/>
            <w:vAlign w:val="bottom"/>
          </w:tcPr>
          <w:p>
            <w:pPr>
              <w:spacing w:after="0"/>
              <w:rPr>
                <w:sz w:val="22"/>
                <w:szCs w:val="22"/>
                <w:color w:val="auto"/>
              </w:rPr>
            </w:pPr>
          </w:p>
        </w:tc>
        <w:tc>
          <w:tcPr>
            <w:tcW w:w="7440" w:type="dxa"/>
            <w:vAlign w:val="bottom"/>
            <w:gridSpan w:val="3"/>
          </w:tcPr>
          <w:p>
            <w:pPr>
              <w:ind w:left="1440"/>
              <w:spacing w:after="0"/>
              <w:rPr>
                <w:sz w:val="20"/>
                <w:szCs w:val="20"/>
                <w:color w:val="auto"/>
              </w:rPr>
            </w:pPr>
            <w:r>
              <w:rPr>
                <w:rFonts w:ascii="Arial" w:cs="Arial" w:eastAsia="Arial" w:hAnsi="Arial"/>
                <w:sz w:val="21"/>
                <w:szCs w:val="21"/>
                <w:color w:val="auto"/>
              </w:rPr>
              <w:t>EHP TOPCO HOLDING COMPANY, LLC</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3720" w:type="dxa"/>
            <w:vAlign w:val="bottom"/>
          </w:tcPr>
          <w:p>
            <w:pPr>
              <w:spacing w:after="0"/>
              <w:rPr>
                <w:sz w:val="23"/>
                <w:szCs w:val="23"/>
                <w:color w:val="auto"/>
              </w:rPr>
            </w:pPr>
          </w:p>
        </w:tc>
        <w:tc>
          <w:tcPr>
            <w:tcW w:w="7440" w:type="dxa"/>
            <w:vAlign w:val="bottom"/>
            <w:gridSpan w:val="3"/>
          </w:tcPr>
          <w:p>
            <w:pPr>
              <w:ind w:left="1440"/>
              <w:spacing w:after="0"/>
              <w:rPr>
                <w:sz w:val="20"/>
                <w:szCs w:val="20"/>
                <w:color w:val="auto"/>
              </w:rPr>
            </w:pPr>
            <w:r>
              <w:rPr>
                <w:rFonts w:ascii="Arial" w:cs="Arial" w:eastAsia="Arial" w:hAnsi="Arial"/>
                <w:sz w:val="21"/>
                <w:szCs w:val="21"/>
                <w:color w:val="auto"/>
              </w:rPr>
              <w:t>EHP MIDCO HOLDING COMPANY, LLC</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07"/>
        </w:trPr>
        <w:tc>
          <w:tcPr>
            <w:tcW w:w="3720" w:type="dxa"/>
            <w:vAlign w:val="bottom"/>
          </w:tcPr>
          <w:p>
            <w:pPr>
              <w:spacing w:after="0"/>
              <w:rPr>
                <w:sz w:val="24"/>
                <w:szCs w:val="24"/>
                <w:color w:val="auto"/>
              </w:rPr>
            </w:pPr>
          </w:p>
        </w:tc>
        <w:tc>
          <w:tcPr>
            <w:tcW w:w="2380" w:type="dxa"/>
            <w:vAlign w:val="bottom"/>
            <w:gridSpan w:val="2"/>
          </w:tcPr>
          <w:p>
            <w:pPr>
              <w:ind w:left="1440"/>
              <w:spacing w:after="0"/>
              <w:rPr>
                <w:sz w:val="20"/>
                <w:szCs w:val="20"/>
                <w:color w:val="auto"/>
              </w:rPr>
            </w:pPr>
            <w:r>
              <w:rPr>
                <w:rFonts w:ascii="Arial" w:cs="Arial" w:eastAsia="Arial" w:hAnsi="Arial"/>
                <w:sz w:val="20"/>
                <w:szCs w:val="20"/>
                <w:color w:val="auto"/>
              </w:rPr>
              <w:t>By:</w:t>
            </w:r>
          </w:p>
        </w:tc>
        <w:tc>
          <w:tcPr>
            <w:tcW w:w="5060" w:type="dxa"/>
            <w:vAlign w:val="bottom"/>
          </w:tcPr>
          <w:p>
            <w:pPr>
              <w:ind w:left="20"/>
              <w:spacing w:after="0"/>
              <w:rPr>
                <w:sz w:val="20"/>
                <w:szCs w:val="20"/>
                <w:color w:val="auto"/>
              </w:rPr>
            </w:pPr>
            <w:r>
              <w:rPr>
                <w:rFonts w:ascii="Arial" w:cs="Arial" w:eastAsia="Arial" w:hAnsi="Arial"/>
                <w:sz w:val="20"/>
                <w:szCs w:val="20"/>
                <w:color w:val="auto"/>
              </w:rPr>
              <w:t>/s/ Francisco Leon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720" w:type="dxa"/>
            <w:vAlign w:val="bottom"/>
          </w:tcPr>
          <w:p>
            <w:pPr>
              <w:spacing w:after="0" w:line="20" w:lineRule="exact"/>
              <w:rPr>
                <w:sz w:val="1"/>
                <w:szCs w:val="1"/>
                <w:color w:val="auto"/>
              </w:rPr>
            </w:pPr>
          </w:p>
        </w:tc>
        <w:tc>
          <w:tcPr>
            <w:tcW w:w="2380" w:type="dxa"/>
            <w:vAlign w:val="bottom"/>
            <w:gridSpan w:val="2"/>
            <w:vMerge w:val="restart"/>
          </w:tcPr>
          <w:p>
            <w:pPr>
              <w:ind w:left="1440"/>
              <w:spacing w:after="0"/>
              <w:rPr>
                <w:sz w:val="20"/>
                <w:szCs w:val="20"/>
                <w:color w:val="auto"/>
              </w:rPr>
            </w:pPr>
            <w:r>
              <w:rPr>
                <w:rFonts w:ascii="Arial" w:cs="Arial" w:eastAsia="Arial" w:hAnsi="Arial"/>
                <w:sz w:val="20"/>
                <w:szCs w:val="20"/>
                <w:color w:val="auto"/>
              </w:rPr>
              <w:t>Name:</w:t>
            </w:r>
          </w:p>
        </w:tc>
        <w:tc>
          <w:tcPr>
            <w:tcW w:w="5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1"/>
        </w:trPr>
        <w:tc>
          <w:tcPr>
            <w:tcW w:w="3720" w:type="dxa"/>
            <w:vAlign w:val="bottom"/>
          </w:tcPr>
          <w:p>
            <w:pPr>
              <w:spacing w:after="0"/>
              <w:rPr>
                <w:sz w:val="21"/>
                <w:szCs w:val="21"/>
                <w:color w:val="auto"/>
              </w:rPr>
            </w:pPr>
          </w:p>
        </w:tc>
        <w:tc>
          <w:tcPr>
            <w:tcW w:w="2380" w:type="dxa"/>
            <w:vAlign w:val="bottom"/>
            <w:gridSpan w:val="2"/>
            <w:vMerge w:val="continue"/>
          </w:tcPr>
          <w:p>
            <w:pPr>
              <w:spacing w:after="0"/>
              <w:rPr>
                <w:sz w:val="21"/>
                <w:szCs w:val="21"/>
                <w:color w:val="auto"/>
              </w:rPr>
            </w:pPr>
          </w:p>
        </w:tc>
        <w:tc>
          <w:tcPr>
            <w:tcW w:w="5060" w:type="dxa"/>
            <w:vAlign w:val="bottom"/>
          </w:tcPr>
          <w:p>
            <w:pPr>
              <w:ind w:left="20"/>
              <w:spacing w:after="0"/>
              <w:rPr>
                <w:sz w:val="20"/>
                <w:szCs w:val="20"/>
                <w:color w:val="auto"/>
              </w:rPr>
            </w:pPr>
            <w:r>
              <w:rPr>
                <w:rFonts w:ascii="Arial" w:cs="Arial" w:eastAsia="Arial" w:hAnsi="Arial"/>
                <w:sz w:val="20"/>
                <w:szCs w:val="20"/>
                <w:color w:val="auto"/>
              </w:rPr>
              <w:t>Francisco Leon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3720" w:type="dxa"/>
            <w:vAlign w:val="bottom"/>
          </w:tcPr>
          <w:p>
            <w:pPr>
              <w:spacing w:after="0"/>
              <w:rPr>
                <w:sz w:val="22"/>
                <w:szCs w:val="22"/>
                <w:color w:val="auto"/>
              </w:rPr>
            </w:pPr>
          </w:p>
        </w:tc>
        <w:tc>
          <w:tcPr>
            <w:tcW w:w="2380" w:type="dxa"/>
            <w:vAlign w:val="bottom"/>
            <w:gridSpan w:val="2"/>
          </w:tcPr>
          <w:p>
            <w:pPr>
              <w:ind w:left="1440"/>
              <w:spacing w:after="0"/>
              <w:rPr>
                <w:sz w:val="20"/>
                <w:szCs w:val="20"/>
                <w:color w:val="auto"/>
              </w:rPr>
            </w:pPr>
            <w:r>
              <w:rPr>
                <w:rFonts w:ascii="Arial" w:cs="Arial" w:eastAsia="Arial" w:hAnsi="Arial"/>
                <w:sz w:val="20"/>
                <w:szCs w:val="20"/>
                <w:color w:val="auto"/>
              </w:rPr>
              <w:t>Title:</w:t>
            </w:r>
          </w:p>
        </w:tc>
        <w:tc>
          <w:tcPr>
            <w:tcW w:w="5060" w:type="dxa"/>
            <w:vAlign w:val="bottom"/>
          </w:tcPr>
          <w:p>
            <w:pPr>
              <w:ind w:left="20"/>
              <w:spacing w:after="0"/>
              <w:rPr>
                <w:sz w:val="20"/>
                <w:szCs w:val="20"/>
                <w:color w:val="auto"/>
              </w:rPr>
            </w:pPr>
            <w:r>
              <w:rPr>
                <w:rFonts w:ascii="Arial" w:cs="Arial" w:eastAsia="Arial" w:hAnsi="Arial"/>
                <w:sz w:val="20"/>
                <w:szCs w:val="20"/>
                <w:color w:val="auto"/>
              </w:rPr>
              <w:t>Executive Vice President and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37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60" w:type="dxa"/>
            <w:vAlign w:val="bottom"/>
          </w:tcPr>
          <w:p>
            <w:pPr>
              <w:ind w:left="20"/>
              <w:spacing w:after="0"/>
              <w:rPr>
                <w:sz w:val="20"/>
                <w:szCs w:val="20"/>
                <w:color w:val="auto"/>
              </w:rPr>
            </w:pPr>
            <w:r>
              <w:rPr>
                <w:rFonts w:ascii="Arial" w:cs="Arial" w:eastAsia="Arial" w:hAnsi="Arial"/>
                <w:sz w:val="20"/>
                <w:szCs w:val="20"/>
                <w:color w:val="auto"/>
              </w:rPr>
              <w:t>Chief Financial Officer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0"/>
        </w:trPr>
        <w:tc>
          <w:tcPr>
            <w:tcW w:w="3720" w:type="dxa"/>
            <w:vAlign w:val="bottom"/>
          </w:tcPr>
          <w:p>
            <w:pPr>
              <w:spacing w:after="0"/>
              <w:rPr>
                <w:sz w:val="24"/>
                <w:szCs w:val="24"/>
                <w:color w:val="auto"/>
              </w:rPr>
            </w:pPr>
          </w:p>
        </w:tc>
        <w:tc>
          <w:tcPr>
            <w:tcW w:w="7440" w:type="dxa"/>
            <w:vAlign w:val="bottom"/>
            <w:gridSpan w:val="3"/>
          </w:tcPr>
          <w:p>
            <w:pPr>
              <w:ind w:left="1420"/>
              <w:spacing w:after="0"/>
              <w:rPr>
                <w:sz w:val="20"/>
                <w:szCs w:val="20"/>
                <w:color w:val="auto"/>
              </w:rPr>
            </w:pPr>
            <w:r>
              <w:rPr>
                <w:rFonts w:ascii="Arial" w:cs="Arial" w:eastAsia="Arial" w:hAnsi="Arial"/>
                <w:sz w:val="20"/>
                <w:szCs w:val="20"/>
                <w:color w:val="auto"/>
              </w:rPr>
              <w:t>CALIFORNIA RESOURCES COLES LEVEE, L.P.</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3"/>
        </w:trPr>
        <w:tc>
          <w:tcPr>
            <w:tcW w:w="3720" w:type="dxa"/>
            <w:vAlign w:val="bottom"/>
          </w:tcPr>
          <w:p>
            <w:pPr>
              <w:spacing w:after="0"/>
              <w:rPr>
                <w:sz w:val="24"/>
                <w:szCs w:val="24"/>
                <w:color w:val="auto"/>
              </w:rPr>
            </w:pPr>
          </w:p>
        </w:tc>
        <w:tc>
          <w:tcPr>
            <w:tcW w:w="2380" w:type="dxa"/>
            <w:vAlign w:val="bottom"/>
            <w:gridSpan w:val="2"/>
          </w:tcPr>
          <w:p>
            <w:pPr>
              <w:ind w:left="1420"/>
              <w:spacing w:after="0"/>
              <w:rPr>
                <w:sz w:val="20"/>
                <w:szCs w:val="20"/>
                <w:color w:val="auto"/>
              </w:rPr>
            </w:pPr>
            <w:r>
              <w:rPr>
                <w:rFonts w:ascii="Arial" w:cs="Arial" w:eastAsia="Arial" w:hAnsi="Arial"/>
                <w:sz w:val="20"/>
                <w:szCs w:val="20"/>
                <w:color w:val="auto"/>
              </w:rPr>
              <w:t>By:</w:t>
            </w:r>
          </w:p>
        </w:tc>
        <w:tc>
          <w:tcPr>
            <w:tcW w:w="5060" w:type="dxa"/>
            <w:vAlign w:val="bottom"/>
          </w:tcPr>
          <w:p>
            <w:pPr>
              <w:spacing w:after="0"/>
              <w:rPr>
                <w:sz w:val="20"/>
                <w:szCs w:val="20"/>
                <w:color w:val="auto"/>
              </w:rPr>
            </w:pPr>
            <w:r>
              <w:rPr>
                <w:rFonts w:ascii="Arial" w:cs="Arial" w:eastAsia="Arial" w:hAnsi="Arial"/>
                <w:sz w:val="20"/>
                <w:szCs w:val="20"/>
                <w:color w:val="auto"/>
              </w:rPr>
              <w:t>/s/ Francisco Leon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7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1"/>
        </w:trPr>
        <w:tc>
          <w:tcPr>
            <w:tcW w:w="3720" w:type="dxa"/>
            <w:vAlign w:val="bottom"/>
          </w:tcPr>
          <w:p>
            <w:pPr>
              <w:spacing w:after="0"/>
              <w:rPr>
                <w:sz w:val="21"/>
                <w:szCs w:val="21"/>
                <w:color w:val="auto"/>
              </w:rPr>
            </w:pPr>
          </w:p>
        </w:tc>
        <w:tc>
          <w:tcPr>
            <w:tcW w:w="2360" w:type="dxa"/>
            <w:vAlign w:val="bottom"/>
          </w:tcPr>
          <w:p>
            <w:pPr>
              <w:ind w:left="1420"/>
              <w:spacing w:after="0"/>
              <w:rPr>
                <w:sz w:val="20"/>
                <w:szCs w:val="20"/>
                <w:color w:val="auto"/>
              </w:rPr>
            </w:pPr>
            <w:r>
              <w:rPr>
                <w:rFonts w:ascii="Arial" w:cs="Arial" w:eastAsia="Arial" w:hAnsi="Arial"/>
                <w:sz w:val="20"/>
                <w:szCs w:val="20"/>
                <w:color w:val="auto"/>
              </w:rPr>
              <w:t>Name:</w:t>
            </w:r>
          </w:p>
        </w:tc>
        <w:tc>
          <w:tcPr>
            <w:tcW w:w="20" w:type="dxa"/>
            <w:vAlign w:val="bottom"/>
            <w:tcBorders>
              <w:top w:val="single" w:sz="8" w:color="auto"/>
            </w:tcBorders>
          </w:tcPr>
          <w:p>
            <w:pPr>
              <w:spacing w:after="0"/>
              <w:rPr>
                <w:sz w:val="21"/>
                <w:szCs w:val="21"/>
                <w:color w:val="auto"/>
              </w:rPr>
            </w:pPr>
          </w:p>
        </w:tc>
        <w:tc>
          <w:tcPr>
            <w:tcW w:w="506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Francisco Leon</w:t>
            </w: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3720" w:type="dxa"/>
            <w:vAlign w:val="bottom"/>
          </w:tcPr>
          <w:p>
            <w:pPr>
              <w:spacing w:after="0"/>
              <w:rPr>
                <w:sz w:val="22"/>
                <w:szCs w:val="22"/>
                <w:color w:val="auto"/>
              </w:rPr>
            </w:pPr>
          </w:p>
        </w:tc>
        <w:tc>
          <w:tcPr>
            <w:tcW w:w="2380" w:type="dxa"/>
            <w:vAlign w:val="bottom"/>
            <w:gridSpan w:val="2"/>
          </w:tcPr>
          <w:p>
            <w:pPr>
              <w:ind w:left="1420"/>
              <w:spacing w:after="0"/>
              <w:rPr>
                <w:sz w:val="20"/>
                <w:szCs w:val="20"/>
                <w:color w:val="auto"/>
              </w:rPr>
            </w:pPr>
            <w:r>
              <w:rPr>
                <w:rFonts w:ascii="Arial" w:cs="Arial" w:eastAsia="Arial" w:hAnsi="Arial"/>
                <w:sz w:val="20"/>
                <w:szCs w:val="20"/>
                <w:color w:val="auto"/>
              </w:rPr>
              <w:t>Title:</w:t>
            </w:r>
          </w:p>
        </w:tc>
        <w:tc>
          <w:tcPr>
            <w:tcW w:w="5060" w:type="dxa"/>
            <w:vAlign w:val="bottom"/>
          </w:tcPr>
          <w:p>
            <w:pPr>
              <w:spacing w:after="0"/>
              <w:rPr>
                <w:sz w:val="20"/>
                <w:szCs w:val="20"/>
                <w:color w:val="auto"/>
              </w:rPr>
            </w:pPr>
            <w:r>
              <w:rPr>
                <w:rFonts w:ascii="Arial" w:cs="Arial" w:eastAsia="Arial" w:hAnsi="Arial"/>
                <w:sz w:val="20"/>
                <w:szCs w:val="20"/>
                <w:color w:val="auto"/>
              </w:rPr>
              <w:t>Executive Vice President and Chief Financial Officer of</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37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60" w:type="dxa"/>
            <w:vAlign w:val="bottom"/>
          </w:tcPr>
          <w:p>
            <w:pPr>
              <w:spacing w:after="0"/>
              <w:rPr>
                <w:sz w:val="20"/>
                <w:szCs w:val="20"/>
                <w:color w:val="auto"/>
              </w:rPr>
            </w:pPr>
            <w:r>
              <w:rPr>
                <w:rFonts w:ascii="Arial" w:cs="Arial" w:eastAsia="Arial" w:hAnsi="Arial"/>
                <w:sz w:val="20"/>
                <w:szCs w:val="20"/>
                <w:color w:val="auto"/>
                <w:w w:val="95"/>
              </w:rPr>
              <w:t>California Resources Coles Levee, LLC, its General Partner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S</w:t>
      </w:r>
      <w:r>
        <w:rPr>
          <w:rFonts w:ascii="Arial" w:cs="Arial" w:eastAsia="Arial" w:hAnsi="Arial"/>
          <w:sz w:val="12"/>
          <w:szCs w:val="12"/>
          <w:color w:val="auto"/>
        </w:rPr>
        <w:t>IGNATURE</w:t>
      </w:r>
      <w:r>
        <w:rPr>
          <w:rFonts w:ascii="Arial" w:cs="Arial" w:eastAsia="Arial" w:hAnsi="Arial"/>
          <w:sz w:val="16"/>
          <w:szCs w:val="16"/>
          <w:color w:val="auto"/>
        </w:rPr>
        <w:t xml:space="preserve"> P</w:t>
      </w:r>
      <w:r>
        <w:rPr>
          <w:rFonts w:ascii="Arial" w:cs="Arial" w:eastAsia="Arial" w:hAnsi="Arial"/>
          <w:sz w:val="12"/>
          <w:szCs w:val="12"/>
          <w:color w:val="auto"/>
        </w:rPr>
        <w:t>AGE</w:t>
      </w:r>
    </w:p>
    <w:p>
      <w:pPr>
        <w:spacing w:after="0" w:line="1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F</w:t>
      </w:r>
      <w:r>
        <w:rPr>
          <w:rFonts w:ascii="Arial" w:cs="Arial" w:eastAsia="Arial" w:hAnsi="Arial"/>
          <w:sz w:val="12"/>
          <w:szCs w:val="12"/>
          <w:color w:val="auto"/>
        </w:rPr>
        <w:t>IRST</w:t>
      </w:r>
      <w:r>
        <w:rPr>
          <w:rFonts w:ascii="Arial" w:cs="Arial" w:eastAsia="Arial" w:hAnsi="Arial"/>
          <w:sz w:val="16"/>
          <w:szCs w:val="16"/>
          <w:color w:val="auto"/>
        </w:rPr>
        <w:t xml:space="preserve"> A</w:t>
      </w:r>
      <w:r>
        <w:rPr>
          <w:rFonts w:ascii="Arial" w:cs="Arial" w:eastAsia="Arial" w:hAnsi="Arial"/>
          <w:sz w:val="12"/>
          <w:szCs w:val="12"/>
          <w:color w:val="auto"/>
        </w:rPr>
        <w:t>MENDMENT –</w:t>
      </w:r>
      <w:r>
        <w:rPr>
          <w:rFonts w:ascii="Arial" w:cs="Arial" w:eastAsia="Arial" w:hAnsi="Arial"/>
          <w:sz w:val="16"/>
          <w:szCs w:val="16"/>
          <w:color w:val="auto"/>
        </w:rPr>
        <w:t xml:space="preserve"> C</w:t>
      </w:r>
      <w:r>
        <w:rPr>
          <w:rFonts w:ascii="Arial" w:cs="Arial" w:eastAsia="Arial" w:hAnsi="Arial"/>
          <w:sz w:val="12"/>
          <w:szCs w:val="12"/>
          <w:color w:val="auto"/>
        </w:rPr>
        <w:t>ALIFORNIA</w:t>
      </w:r>
      <w:r>
        <w:rPr>
          <w:rFonts w:ascii="Arial" w:cs="Arial" w:eastAsia="Arial" w:hAnsi="Arial"/>
          <w:sz w:val="16"/>
          <w:szCs w:val="16"/>
          <w:color w:val="auto"/>
        </w:rPr>
        <w:t xml:space="preserve"> R</w:t>
      </w:r>
      <w:r>
        <w:rPr>
          <w:rFonts w:ascii="Arial" w:cs="Arial" w:eastAsia="Arial" w:hAnsi="Arial"/>
          <w:sz w:val="12"/>
          <w:szCs w:val="12"/>
          <w:color w:val="auto"/>
        </w:rPr>
        <w:t>ESOURCES</w:t>
      </w:r>
      <w:r>
        <w:rPr>
          <w:rFonts w:ascii="Arial" w:cs="Arial" w:eastAsia="Arial" w:hAnsi="Arial"/>
          <w:sz w:val="16"/>
          <w:szCs w:val="16"/>
          <w:color w:val="auto"/>
        </w:rPr>
        <w:t xml:space="preserve"> C</w:t>
      </w:r>
      <w:r>
        <w:rPr>
          <w:rFonts w:ascii="Arial" w:cs="Arial" w:eastAsia="Arial" w:hAnsi="Arial"/>
          <w:sz w:val="12"/>
          <w:szCs w:val="12"/>
          <w:color w:val="auto"/>
        </w:rPr>
        <w:t>ORPORATION</w:t>
      </w:r>
    </w:p>
    <w:p>
      <w:pPr>
        <w:sectPr>
          <w:pgSz w:w="11900" w:h="16838" w:orient="portrait"/>
          <w:cols w:equalWidth="0" w:num="1">
            <w:col w:w="11180"/>
          </w:cols>
          <w:pgMar w:left="380" w:top="1440" w:right="339" w:bottom="1440" w:gutter="0" w:footer="0" w:header="0"/>
        </w:sectPr>
      </w:pPr>
    </w:p>
    <w:bookmarkStart w:id="16" w:name="page17"/>
    <w:bookmarkEnd w:id="16"/>
    <w:p>
      <w:pPr>
        <w:spacing w:after="0" w:line="10" w:lineRule="exact"/>
        <w:rPr>
          <w:sz w:val="20"/>
          <w:szCs w:val="20"/>
          <w:color w:val="auto"/>
        </w:rPr>
      </w:pPr>
    </w:p>
    <w:p>
      <w:pPr>
        <w:ind w:left="4100"/>
        <w:spacing w:after="0"/>
        <w:rPr>
          <w:sz w:val="20"/>
          <w:szCs w:val="20"/>
          <w:color w:val="auto"/>
        </w:rPr>
      </w:pPr>
      <w:r>
        <w:rPr>
          <w:rFonts w:ascii="Arial" w:cs="Arial" w:eastAsia="Arial" w:hAnsi="Arial"/>
          <w:sz w:val="20"/>
          <w:szCs w:val="20"/>
          <w:b w:val="1"/>
          <w:bCs w:val="1"/>
          <w:color w:val="auto"/>
        </w:rPr>
        <w:t>CITIBANK, N.A.,</w:t>
      </w:r>
    </w:p>
    <w:p>
      <w:pPr>
        <w:spacing w:after="0" w:line="19"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as Administrative Agent and as Collateral Agent</w:t>
      </w:r>
    </w:p>
    <w:p>
      <w:pPr>
        <w:spacing w:after="0" w:line="200" w:lineRule="exact"/>
        <w:rPr>
          <w:sz w:val="20"/>
          <w:szCs w:val="20"/>
          <w:color w:val="auto"/>
        </w:rPr>
      </w:pPr>
    </w:p>
    <w:p>
      <w:pPr>
        <w:spacing w:after="0" w:line="367" w:lineRule="exact"/>
        <w:rPr>
          <w:sz w:val="20"/>
          <w:szCs w:val="20"/>
          <w:color w:val="auto"/>
        </w:rPr>
      </w:pPr>
    </w:p>
    <w:tbl>
      <w:tblPr>
        <w:tblLayout w:type="fixed"/>
        <w:tblInd w:w="4100" w:type="dxa"/>
        <w:tblCellMar>
          <w:top w:w="0" w:type="dxa"/>
          <w:left w:w="0" w:type="dxa"/>
          <w:bottom w:w="0" w:type="dxa"/>
          <w:right w:w="0" w:type="dxa"/>
        </w:tblCellMar>
      </w:tblPr>
      <w:tr>
        <w:trPr>
          <w:trHeight w:val="248"/>
        </w:trPr>
        <w:tc>
          <w:tcPr>
            <w:tcW w:w="940" w:type="dxa"/>
            <w:vAlign w:val="bottom"/>
          </w:tcPr>
          <w:p>
            <w:pPr>
              <w:spacing w:after="0"/>
              <w:rPr>
                <w:sz w:val="20"/>
                <w:szCs w:val="20"/>
                <w:color w:val="auto"/>
              </w:rPr>
            </w:pPr>
            <w:r>
              <w:rPr>
                <w:rFonts w:ascii="Arial" w:cs="Arial" w:eastAsia="Arial" w:hAnsi="Arial"/>
                <w:sz w:val="20"/>
                <w:szCs w:val="20"/>
                <w:color w:val="auto"/>
              </w:rPr>
              <w:t>By:</w:t>
            </w:r>
          </w:p>
        </w:tc>
        <w:tc>
          <w:tcPr>
            <w:tcW w:w="5060" w:type="dxa"/>
            <w:vAlign w:val="bottom"/>
          </w:tcPr>
          <w:p>
            <w:pPr>
              <w:ind w:left="20"/>
              <w:spacing w:after="0"/>
              <w:rPr>
                <w:sz w:val="20"/>
                <w:szCs w:val="20"/>
                <w:color w:val="auto"/>
              </w:rPr>
            </w:pPr>
            <w:r>
              <w:rPr>
                <w:rFonts w:ascii="Arial" w:cs="Arial" w:eastAsia="Arial" w:hAnsi="Arial"/>
                <w:sz w:val="20"/>
                <w:szCs w:val="20"/>
                <w:color w:val="auto"/>
              </w:rPr>
              <w:t>/s/ Jeff Ard</w:t>
            </w:r>
          </w:p>
        </w:tc>
        <w:tc>
          <w:tcPr>
            <w:tcW w:w="0" w:type="dxa"/>
            <w:vAlign w:val="bottom"/>
          </w:tcPr>
          <w:p>
            <w:pPr>
              <w:spacing w:after="0"/>
              <w:rPr>
                <w:sz w:val="1"/>
                <w:szCs w:val="1"/>
                <w:color w:val="auto"/>
              </w:rPr>
            </w:pPr>
          </w:p>
        </w:tc>
      </w:tr>
      <w:tr>
        <w:trPr>
          <w:trHeight w:val="22"/>
        </w:trPr>
        <w:tc>
          <w:tcPr>
            <w:tcW w:w="94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5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1"/>
        </w:trPr>
        <w:tc>
          <w:tcPr>
            <w:tcW w:w="940" w:type="dxa"/>
            <w:vAlign w:val="bottom"/>
            <w:vMerge w:val="continue"/>
          </w:tcPr>
          <w:p>
            <w:pPr>
              <w:spacing w:after="0"/>
              <w:rPr>
                <w:sz w:val="21"/>
                <w:szCs w:val="21"/>
                <w:color w:val="auto"/>
              </w:rPr>
            </w:pPr>
          </w:p>
        </w:tc>
        <w:tc>
          <w:tcPr>
            <w:tcW w:w="5060" w:type="dxa"/>
            <w:vAlign w:val="bottom"/>
          </w:tcPr>
          <w:p>
            <w:pPr>
              <w:ind w:left="20"/>
              <w:spacing w:after="0"/>
              <w:rPr>
                <w:sz w:val="20"/>
                <w:szCs w:val="20"/>
                <w:color w:val="auto"/>
              </w:rPr>
            </w:pPr>
            <w:r>
              <w:rPr>
                <w:rFonts w:ascii="Arial" w:cs="Arial" w:eastAsia="Arial" w:hAnsi="Arial"/>
                <w:sz w:val="20"/>
                <w:szCs w:val="20"/>
                <w:color w:val="auto"/>
              </w:rPr>
              <w:t>Jeff Ard</w:t>
            </w:r>
          </w:p>
        </w:tc>
        <w:tc>
          <w:tcPr>
            <w:tcW w:w="0" w:type="dxa"/>
            <w:vAlign w:val="bottom"/>
          </w:tcPr>
          <w:p>
            <w:pPr>
              <w:spacing w:after="0"/>
              <w:rPr>
                <w:sz w:val="1"/>
                <w:szCs w:val="1"/>
                <w:color w:val="auto"/>
              </w:rPr>
            </w:pPr>
          </w:p>
        </w:tc>
      </w:tr>
      <w:tr>
        <w:trPr>
          <w:trHeight w:val="280"/>
        </w:trPr>
        <w:tc>
          <w:tcPr>
            <w:tcW w:w="940" w:type="dxa"/>
            <w:vAlign w:val="bottom"/>
          </w:tcPr>
          <w:p>
            <w:pPr>
              <w:spacing w:after="0"/>
              <w:rPr>
                <w:sz w:val="20"/>
                <w:szCs w:val="20"/>
                <w:color w:val="auto"/>
              </w:rPr>
            </w:pPr>
            <w:r>
              <w:rPr>
                <w:rFonts w:ascii="Arial" w:cs="Arial" w:eastAsia="Arial" w:hAnsi="Arial"/>
                <w:sz w:val="20"/>
                <w:szCs w:val="20"/>
                <w:color w:val="auto"/>
              </w:rPr>
              <w:t>Title:</w:t>
            </w:r>
          </w:p>
        </w:tc>
        <w:tc>
          <w:tcPr>
            <w:tcW w:w="5060" w:type="dxa"/>
            <w:vAlign w:val="bottom"/>
          </w:tcPr>
          <w:p>
            <w:pPr>
              <w:ind w:left="20"/>
              <w:spacing w:after="0"/>
              <w:rPr>
                <w:sz w:val="20"/>
                <w:szCs w:val="20"/>
                <w:color w:val="auto"/>
              </w:rPr>
            </w:pPr>
            <w:r>
              <w:rPr>
                <w:rFonts w:ascii="Arial" w:cs="Arial" w:eastAsia="Arial" w:hAnsi="Arial"/>
                <w:sz w:val="20"/>
                <w:szCs w:val="20"/>
                <w:color w:val="auto"/>
              </w:rPr>
              <w:t>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100"/>
        <w:spacing w:after="0"/>
        <w:rPr>
          <w:sz w:val="20"/>
          <w:szCs w:val="20"/>
          <w:color w:val="auto"/>
        </w:rPr>
      </w:pPr>
      <w:r>
        <w:rPr>
          <w:rFonts w:ascii="Arial" w:cs="Arial" w:eastAsia="Arial" w:hAnsi="Arial"/>
          <w:sz w:val="20"/>
          <w:szCs w:val="20"/>
          <w:b w:val="1"/>
          <w:bCs w:val="1"/>
          <w:color w:val="auto"/>
        </w:rPr>
        <w:t>CITIBANK, N.A.,</w:t>
      </w:r>
    </w:p>
    <w:p>
      <w:pPr>
        <w:spacing w:after="0" w:line="19"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367" w:lineRule="exact"/>
        <w:rPr>
          <w:sz w:val="20"/>
          <w:szCs w:val="20"/>
          <w:color w:val="auto"/>
        </w:rPr>
      </w:pPr>
    </w:p>
    <w:tbl>
      <w:tblPr>
        <w:tblLayout w:type="fixed"/>
        <w:tblInd w:w="4100" w:type="dxa"/>
        <w:tblCellMar>
          <w:top w:w="0" w:type="dxa"/>
          <w:left w:w="0" w:type="dxa"/>
          <w:bottom w:w="0" w:type="dxa"/>
          <w:right w:w="0" w:type="dxa"/>
        </w:tblCellMar>
      </w:tblPr>
      <w:tr>
        <w:trPr>
          <w:trHeight w:val="248"/>
        </w:trPr>
        <w:tc>
          <w:tcPr>
            <w:tcW w:w="940" w:type="dxa"/>
            <w:vAlign w:val="bottom"/>
          </w:tcPr>
          <w:p>
            <w:pPr>
              <w:spacing w:after="0"/>
              <w:rPr>
                <w:sz w:val="20"/>
                <w:szCs w:val="20"/>
                <w:color w:val="auto"/>
              </w:rPr>
            </w:pPr>
            <w:r>
              <w:rPr>
                <w:rFonts w:ascii="Arial" w:cs="Arial" w:eastAsia="Arial" w:hAnsi="Arial"/>
                <w:sz w:val="20"/>
                <w:szCs w:val="20"/>
                <w:color w:val="auto"/>
              </w:rPr>
              <w:t>By:</w:t>
            </w:r>
          </w:p>
        </w:tc>
        <w:tc>
          <w:tcPr>
            <w:tcW w:w="5060" w:type="dxa"/>
            <w:vAlign w:val="bottom"/>
          </w:tcPr>
          <w:p>
            <w:pPr>
              <w:ind w:left="20"/>
              <w:spacing w:after="0"/>
              <w:rPr>
                <w:sz w:val="20"/>
                <w:szCs w:val="20"/>
                <w:color w:val="auto"/>
              </w:rPr>
            </w:pPr>
            <w:r>
              <w:rPr>
                <w:rFonts w:ascii="Arial" w:cs="Arial" w:eastAsia="Arial" w:hAnsi="Arial"/>
                <w:sz w:val="20"/>
                <w:szCs w:val="20"/>
                <w:color w:val="auto"/>
              </w:rPr>
              <w:t>/s/ Jeff Ard</w:t>
            </w:r>
          </w:p>
        </w:tc>
        <w:tc>
          <w:tcPr>
            <w:tcW w:w="0" w:type="dxa"/>
            <w:vAlign w:val="bottom"/>
          </w:tcPr>
          <w:p>
            <w:pPr>
              <w:spacing w:after="0"/>
              <w:rPr>
                <w:sz w:val="1"/>
                <w:szCs w:val="1"/>
                <w:color w:val="auto"/>
              </w:rPr>
            </w:pPr>
          </w:p>
        </w:tc>
      </w:tr>
      <w:tr>
        <w:trPr>
          <w:trHeight w:val="22"/>
        </w:trPr>
        <w:tc>
          <w:tcPr>
            <w:tcW w:w="94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5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1"/>
        </w:trPr>
        <w:tc>
          <w:tcPr>
            <w:tcW w:w="940" w:type="dxa"/>
            <w:vAlign w:val="bottom"/>
            <w:vMerge w:val="continue"/>
          </w:tcPr>
          <w:p>
            <w:pPr>
              <w:spacing w:after="0"/>
              <w:rPr>
                <w:sz w:val="21"/>
                <w:szCs w:val="21"/>
                <w:color w:val="auto"/>
              </w:rPr>
            </w:pPr>
          </w:p>
        </w:tc>
        <w:tc>
          <w:tcPr>
            <w:tcW w:w="5060" w:type="dxa"/>
            <w:vAlign w:val="bottom"/>
          </w:tcPr>
          <w:p>
            <w:pPr>
              <w:ind w:left="20"/>
              <w:spacing w:after="0"/>
              <w:rPr>
                <w:sz w:val="20"/>
                <w:szCs w:val="20"/>
                <w:color w:val="auto"/>
              </w:rPr>
            </w:pPr>
            <w:r>
              <w:rPr>
                <w:rFonts w:ascii="Arial" w:cs="Arial" w:eastAsia="Arial" w:hAnsi="Arial"/>
                <w:sz w:val="20"/>
                <w:szCs w:val="20"/>
                <w:color w:val="auto"/>
              </w:rPr>
              <w:t>Jeff Ard</w:t>
            </w:r>
          </w:p>
        </w:tc>
        <w:tc>
          <w:tcPr>
            <w:tcW w:w="0" w:type="dxa"/>
            <w:vAlign w:val="bottom"/>
          </w:tcPr>
          <w:p>
            <w:pPr>
              <w:spacing w:after="0"/>
              <w:rPr>
                <w:sz w:val="1"/>
                <w:szCs w:val="1"/>
                <w:color w:val="auto"/>
              </w:rPr>
            </w:pPr>
          </w:p>
        </w:tc>
      </w:tr>
      <w:tr>
        <w:trPr>
          <w:trHeight w:val="280"/>
        </w:trPr>
        <w:tc>
          <w:tcPr>
            <w:tcW w:w="940" w:type="dxa"/>
            <w:vAlign w:val="bottom"/>
          </w:tcPr>
          <w:p>
            <w:pPr>
              <w:spacing w:after="0"/>
              <w:rPr>
                <w:sz w:val="20"/>
                <w:szCs w:val="20"/>
                <w:color w:val="auto"/>
              </w:rPr>
            </w:pPr>
            <w:r>
              <w:rPr>
                <w:rFonts w:ascii="Arial" w:cs="Arial" w:eastAsia="Arial" w:hAnsi="Arial"/>
                <w:sz w:val="20"/>
                <w:szCs w:val="20"/>
                <w:color w:val="auto"/>
              </w:rPr>
              <w:t>Title:</w:t>
            </w:r>
          </w:p>
        </w:tc>
        <w:tc>
          <w:tcPr>
            <w:tcW w:w="5060" w:type="dxa"/>
            <w:vAlign w:val="bottom"/>
          </w:tcPr>
          <w:p>
            <w:pPr>
              <w:ind w:left="20"/>
              <w:spacing w:after="0"/>
              <w:rPr>
                <w:sz w:val="20"/>
                <w:szCs w:val="20"/>
                <w:color w:val="auto"/>
              </w:rPr>
            </w:pPr>
            <w:r>
              <w:rPr>
                <w:rFonts w:ascii="Arial" w:cs="Arial" w:eastAsia="Arial" w:hAnsi="Arial"/>
                <w:sz w:val="20"/>
                <w:szCs w:val="20"/>
                <w:color w:val="auto"/>
              </w:rPr>
              <w:t>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080"/>
        <w:spacing w:after="0"/>
        <w:rPr>
          <w:sz w:val="20"/>
          <w:szCs w:val="20"/>
          <w:color w:val="auto"/>
        </w:rPr>
      </w:pPr>
      <w:r>
        <w:rPr>
          <w:rFonts w:ascii="Arial" w:cs="Arial" w:eastAsia="Arial" w:hAnsi="Arial"/>
          <w:sz w:val="16"/>
          <w:szCs w:val="16"/>
          <w:color w:val="auto"/>
        </w:rPr>
        <w:t>S</w:t>
      </w:r>
      <w:r>
        <w:rPr>
          <w:rFonts w:ascii="Arial" w:cs="Arial" w:eastAsia="Arial" w:hAnsi="Arial"/>
          <w:sz w:val="12"/>
          <w:szCs w:val="12"/>
          <w:color w:val="auto"/>
        </w:rPr>
        <w:t>IGNATURE</w:t>
      </w:r>
      <w:r>
        <w:rPr>
          <w:rFonts w:ascii="Arial" w:cs="Arial" w:eastAsia="Arial" w:hAnsi="Arial"/>
          <w:sz w:val="16"/>
          <w:szCs w:val="16"/>
          <w:color w:val="auto"/>
        </w:rPr>
        <w:t xml:space="preserve"> P</w:t>
      </w:r>
      <w:r>
        <w:rPr>
          <w:rFonts w:ascii="Arial" w:cs="Arial" w:eastAsia="Arial" w:hAnsi="Arial"/>
          <w:sz w:val="12"/>
          <w:szCs w:val="12"/>
          <w:color w:val="auto"/>
        </w:rPr>
        <w:t>AGE</w:t>
      </w:r>
    </w:p>
    <w:p>
      <w:pPr>
        <w:spacing w:after="0" w:line="17" w:lineRule="exact"/>
        <w:rPr>
          <w:sz w:val="20"/>
          <w:szCs w:val="20"/>
          <w:color w:val="auto"/>
        </w:rPr>
      </w:pPr>
    </w:p>
    <w:p>
      <w:pPr>
        <w:jc w:val="center"/>
        <w:ind w:right="1080"/>
        <w:spacing w:after="0"/>
        <w:rPr>
          <w:sz w:val="20"/>
          <w:szCs w:val="20"/>
          <w:color w:val="auto"/>
        </w:rPr>
      </w:pPr>
      <w:r>
        <w:rPr>
          <w:rFonts w:ascii="Arial" w:cs="Arial" w:eastAsia="Arial" w:hAnsi="Arial"/>
          <w:sz w:val="15"/>
          <w:szCs w:val="15"/>
          <w:color w:val="auto"/>
        </w:rPr>
        <w:t>F</w:t>
      </w:r>
      <w:r>
        <w:rPr>
          <w:rFonts w:ascii="Arial" w:cs="Arial" w:eastAsia="Arial" w:hAnsi="Arial"/>
          <w:sz w:val="11"/>
          <w:szCs w:val="11"/>
          <w:color w:val="auto"/>
        </w:rPr>
        <w:t>IRST</w:t>
      </w:r>
      <w:r>
        <w:rPr>
          <w:rFonts w:ascii="Arial" w:cs="Arial" w:eastAsia="Arial" w:hAnsi="Arial"/>
          <w:sz w:val="15"/>
          <w:szCs w:val="15"/>
          <w:color w:val="auto"/>
        </w:rPr>
        <w:t xml:space="preserve"> A</w:t>
      </w:r>
      <w:r>
        <w:rPr>
          <w:rFonts w:ascii="Arial" w:cs="Arial" w:eastAsia="Arial" w:hAnsi="Arial"/>
          <w:sz w:val="11"/>
          <w:szCs w:val="11"/>
          <w:color w:val="auto"/>
        </w:rPr>
        <w:t>MENDMENT –</w:t>
      </w:r>
      <w:r>
        <w:rPr>
          <w:rFonts w:ascii="Arial" w:cs="Arial" w:eastAsia="Arial" w:hAnsi="Arial"/>
          <w:sz w:val="15"/>
          <w:szCs w:val="15"/>
          <w:color w:val="auto"/>
        </w:rPr>
        <w:t xml:space="preserve"> C</w:t>
      </w:r>
      <w:r>
        <w:rPr>
          <w:rFonts w:ascii="Arial" w:cs="Arial" w:eastAsia="Arial" w:hAnsi="Arial"/>
          <w:sz w:val="11"/>
          <w:szCs w:val="11"/>
          <w:color w:val="auto"/>
        </w:rPr>
        <w:t>ALIFORNIA</w:t>
      </w:r>
      <w:r>
        <w:rPr>
          <w:rFonts w:ascii="Arial" w:cs="Arial" w:eastAsia="Arial" w:hAnsi="Arial"/>
          <w:sz w:val="15"/>
          <w:szCs w:val="15"/>
          <w:color w:val="auto"/>
        </w:rPr>
        <w:t xml:space="preserve"> R</w:t>
      </w:r>
      <w:r>
        <w:rPr>
          <w:rFonts w:ascii="Arial" w:cs="Arial" w:eastAsia="Arial" w:hAnsi="Arial"/>
          <w:sz w:val="11"/>
          <w:szCs w:val="11"/>
          <w:color w:val="auto"/>
        </w:rPr>
        <w:t>ESOURCES</w:t>
      </w:r>
      <w:r>
        <w:rPr>
          <w:rFonts w:ascii="Arial" w:cs="Arial" w:eastAsia="Arial" w:hAnsi="Arial"/>
          <w:sz w:val="15"/>
          <w:szCs w:val="15"/>
          <w:color w:val="auto"/>
        </w:rPr>
        <w:t xml:space="preserve"> C</w:t>
      </w:r>
      <w:r>
        <w:rPr>
          <w:rFonts w:ascii="Arial" w:cs="Arial" w:eastAsia="Arial" w:hAnsi="Arial"/>
          <w:sz w:val="11"/>
          <w:szCs w:val="11"/>
          <w:color w:val="auto"/>
        </w:rPr>
        <w:t>ORPORATION</w:t>
      </w:r>
    </w:p>
    <w:p>
      <w:pPr>
        <w:sectPr>
          <w:pgSz w:w="11900" w:h="16838" w:orient="portrait"/>
          <w:cols w:equalWidth="0" w:num="1">
            <w:col w:w="10100"/>
          </w:cols>
          <w:pgMar w:left="1440" w:top="1440" w:right="359" w:bottom="1440" w:gutter="0" w:footer="0" w:header="0"/>
        </w:sectPr>
      </w:pPr>
    </w:p>
    <w:bookmarkStart w:id="17" w:name="page18"/>
    <w:bookmarkEnd w:id="17"/>
    <w:p>
      <w:pPr>
        <w:spacing w:after="0" w:line="10"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KEYBANK, NATIONAL ASSOCIATION,</w:t>
      </w:r>
    </w:p>
    <w:p>
      <w:pPr>
        <w:spacing w:after="0" w:line="19"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367" w:lineRule="exact"/>
        <w:rPr>
          <w:sz w:val="20"/>
          <w:szCs w:val="20"/>
          <w:color w:val="auto"/>
        </w:rPr>
      </w:pPr>
    </w:p>
    <w:tbl>
      <w:tblPr>
        <w:tblLayout w:type="fixed"/>
        <w:tblInd w:w="4080" w:type="dxa"/>
        <w:tblCellMar>
          <w:top w:w="0" w:type="dxa"/>
          <w:left w:w="0" w:type="dxa"/>
          <w:bottom w:w="0" w:type="dxa"/>
          <w:right w:w="0" w:type="dxa"/>
        </w:tblCellMar>
      </w:tblPr>
      <w:tr>
        <w:trPr>
          <w:trHeight w:val="248"/>
        </w:trPr>
        <w:tc>
          <w:tcPr>
            <w:tcW w:w="940" w:type="dxa"/>
            <w:vAlign w:val="bottom"/>
          </w:tcPr>
          <w:p>
            <w:pPr>
              <w:spacing w:after="0"/>
              <w:rPr>
                <w:sz w:val="20"/>
                <w:szCs w:val="20"/>
                <w:color w:val="auto"/>
              </w:rPr>
            </w:pPr>
            <w:r>
              <w:rPr>
                <w:rFonts w:ascii="Arial" w:cs="Arial" w:eastAsia="Arial" w:hAnsi="Arial"/>
                <w:sz w:val="20"/>
                <w:szCs w:val="20"/>
                <w:color w:val="auto"/>
              </w:rPr>
              <w:t>By:</w:t>
            </w:r>
          </w:p>
        </w:tc>
        <w:tc>
          <w:tcPr>
            <w:tcW w:w="5100" w:type="dxa"/>
            <w:vAlign w:val="bottom"/>
          </w:tcPr>
          <w:p>
            <w:pPr>
              <w:ind w:left="20"/>
              <w:spacing w:after="0"/>
              <w:rPr>
                <w:sz w:val="20"/>
                <w:szCs w:val="20"/>
                <w:color w:val="auto"/>
              </w:rPr>
            </w:pPr>
            <w:r>
              <w:rPr>
                <w:rFonts w:ascii="Arial" w:cs="Arial" w:eastAsia="Arial" w:hAnsi="Arial"/>
                <w:sz w:val="20"/>
                <w:szCs w:val="20"/>
                <w:color w:val="auto"/>
              </w:rPr>
              <w:t>/s/ David M. Bornstein</w:t>
            </w:r>
          </w:p>
        </w:tc>
        <w:tc>
          <w:tcPr>
            <w:tcW w:w="0" w:type="dxa"/>
            <w:vAlign w:val="bottom"/>
          </w:tcPr>
          <w:p>
            <w:pPr>
              <w:spacing w:after="0"/>
              <w:rPr>
                <w:sz w:val="1"/>
                <w:szCs w:val="1"/>
                <w:color w:val="auto"/>
              </w:rPr>
            </w:pPr>
          </w:p>
        </w:tc>
      </w:tr>
      <w:tr>
        <w:trPr>
          <w:trHeight w:val="280"/>
        </w:trPr>
        <w:tc>
          <w:tcPr>
            <w:tcW w:w="940" w:type="dxa"/>
            <w:vAlign w:val="bottom"/>
          </w:tcPr>
          <w:p>
            <w:pPr>
              <w:spacing w:after="0"/>
              <w:rPr>
                <w:sz w:val="20"/>
                <w:szCs w:val="20"/>
                <w:color w:val="auto"/>
              </w:rPr>
            </w:pPr>
            <w:r>
              <w:rPr>
                <w:rFonts w:ascii="Arial" w:cs="Arial" w:eastAsia="Arial" w:hAnsi="Arial"/>
                <w:sz w:val="20"/>
                <w:szCs w:val="20"/>
                <w:color w:val="auto"/>
              </w:rPr>
              <w:t>Name:</w:t>
            </w:r>
          </w:p>
        </w:tc>
        <w:tc>
          <w:tcPr>
            <w:tcW w:w="5100" w:type="dxa"/>
            <w:vAlign w:val="bottom"/>
          </w:tcPr>
          <w:p>
            <w:pPr>
              <w:ind w:left="20"/>
              <w:spacing w:after="0"/>
              <w:rPr>
                <w:sz w:val="20"/>
                <w:szCs w:val="20"/>
                <w:color w:val="auto"/>
              </w:rPr>
            </w:pPr>
            <w:r>
              <w:rPr>
                <w:rFonts w:ascii="Arial" w:cs="Arial" w:eastAsia="Arial" w:hAnsi="Arial"/>
                <w:sz w:val="20"/>
                <w:szCs w:val="20"/>
                <w:color w:val="auto"/>
              </w:rPr>
              <w:t>David M. Bornstein</w:t>
            </w:r>
          </w:p>
        </w:tc>
        <w:tc>
          <w:tcPr>
            <w:tcW w:w="0" w:type="dxa"/>
            <w:vAlign w:val="bottom"/>
          </w:tcPr>
          <w:p>
            <w:pPr>
              <w:spacing w:after="0"/>
              <w:rPr>
                <w:sz w:val="1"/>
                <w:szCs w:val="1"/>
                <w:color w:val="auto"/>
              </w:rPr>
            </w:pPr>
          </w:p>
        </w:tc>
      </w:tr>
      <w:tr>
        <w:trPr>
          <w:trHeight w:val="22"/>
        </w:trPr>
        <w:tc>
          <w:tcPr>
            <w:tcW w:w="940" w:type="dxa"/>
            <w:vAlign w:val="bottom"/>
            <w:vMerge w:val="restart"/>
          </w:tcPr>
          <w:p>
            <w:pPr>
              <w:spacing w:after="0"/>
              <w:rPr>
                <w:sz w:val="20"/>
                <w:szCs w:val="20"/>
                <w:color w:val="auto"/>
              </w:rPr>
            </w:pPr>
            <w:r>
              <w:rPr>
                <w:rFonts w:ascii="Arial" w:cs="Arial" w:eastAsia="Arial" w:hAnsi="Arial"/>
                <w:sz w:val="20"/>
                <w:szCs w:val="20"/>
                <w:color w:val="auto"/>
              </w:rPr>
              <w:t>Title:</w:t>
            </w:r>
          </w:p>
        </w:tc>
        <w:tc>
          <w:tcPr>
            <w:tcW w:w="5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1"/>
        </w:trPr>
        <w:tc>
          <w:tcPr>
            <w:tcW w:w="940" w:type="dxa"/>
            <w:vAlign w:val="bottom"/>
            <w:vMerge w:val="continue"/>
          </w:tcPr>
          <w:p>
            <w:pPr>
              <w:spacing w:after="0"/>
              <w:rPr>
                <w:sz w:val="21"/>
                <w:szCs w:val="21"/>
                <w:color w:val="auto"/>
              </w:rPr>
            </w:pPr>
          </w:p>
        </w:tc>
        <w:tc>
          <w:tcPr>
            <w:tcW w:w="5100" w:type="dxa"/>
            <w:vAlign w:val="bottom"/>
          </w:tcPr>
          <w:p>
            <w:pPr>
              <w:ind w:left="20"/>
              <w:spacing w:after="0"/>
              <w:rPr>
                <w:sz w:val="20"/>
                <w:szCs w:val="20"/>
                <w:color w:val="auto"/>
              </w:rPr>
            </w:pPr>
            <w:r>
              <w:rPr>
                <w:rFonts w:ascii="Arial" w:cs="Arial" w:eastAsia="Arial" w:hAnsi="Arial"/>
                <w:sz w:val="20"/>
                <w:szCs w:val="20"/>
                <w:color w:val="auto"/>
              </w:rPr>
              <w:t>Senior 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S</w:t>
      </w:r>
      <w:r>
        <w:rPr>
          <w:rFonts w:ascii="Arial" w:cs="Arial" w:eastAsia="Arial" w:hAnsi="Arial"/>
          <w:sz w:val="12"/>
          <w:szCs w:val="12"/>
          <w:color w:val="auto"/>
        </w:rPr>
        <w:t>IGNATURE</w:t>
      </w:r>
      <w:r>
        <w:rPr>
          <w:rFonts w:ascii="Arial" w:cs="Arial" w:eastAsia="Arial" w:hAnsi="Arial"/>
          <w:sz w:val="16"/>
          <w:szCs w:val="16"/>
          <w:color w:val="auto"/>
        </w:rPr>
        <w:t xml:space="preserve"> P</w:t>
      </w:r>
      <w:r>
        <w:rPr>
          <w:rFonts w:ascii="Arial" w:cs="Arial" w:eastAsia="Arial" w:hAnsi="Arial"/>
          <w:sz w:val="12"/>
          <w:szCs w:val="12"/>
          <w:color w:val="auto"/>
        </w:rPr>
        <w:t>AGE</w:t>
      </w:r>
    </w:p>
    <w:p>
      <w:pPr>
        <w:spacing w:after="0" w:line="17" w:lineRule="exact"/>
        <w:rPr>
          <w:sz w:val="20"/>
          <w:szCs w:val="20"/>
          <w:color w:val="auto"/>
        </w:rPr>
      </w:pPr>
    </w:p>
    <w:p>
      <w:pPr>
        <w:jc w:val="center"/>
        <w:ind w:right="1100"/>
        <w:spacing w:after="0"/>
        <w:rPr>
          <w:sz w:val="20"/>
          <w:szCs w:val="20"/>
          <w:color w:val="auto"/>
        </w:rPr>
      </w:pPr>
      <w:r>
        <w:rPr>
          <w:rFonts w:ascii="Arial" w:cs="Arial" w:eastAsia="Arial" w:hAnsi="Arial"/>
          <w:sz w:val="15"/>
          <w:szCs w:val="15"/>
          <w:color w:val="auto"/>
        </w:rPr>
        <w:t>F</w:t>
      </w:r>
      <w:r>
        <w:rPr>
          <w:rFonts w:ascii="Arial" w:cs="Arial" w:eastAsia="Arial" w:hAnsi="Arial"/>
          <w:sz w:val="11"/>
          <w:szCs w:val="11"/>
          <w:color w:val="auto"/>
        </w:rPr>
        <w:t>IRST</w:t>
      </w:r>
      <w:r>
        <w:rPr>
          <w:rFonts w:ascii="Arial" w:cs="Arial" w:eastAsia="Arial" w:hAnsi="Arial"/>
          <w:sz w:val="15"/>
          <w:szCs w:val="15"/>
          <w:color w:val="auto"/>
        </w:rPr>
        <w:t xml:space="preserve"> A</w:t>
      </w:r>
      <w:r>
        <w:rPr>
          <w:rFonts w:ascii="Arial" w:cs="Arial" w:eastAsia="Arial" w:hAnsi="Arial"/>
          <w:sz w:val="11"/>
          <w:szCs w:val="11"/>
          <w:color w:val="auto"/>
        </w:rPr>
        <w:t>MENDMENT –</w:t>
      </w:r>
      <w:r>
        <w:rPr>
          <w:rFonts w:ascii="Arial" w:cs="Arial" w:eastAsia="Arial" w:hAnsi="Arial"/>
          <w:sz w:val="15"/>
          <w:szCs w:val="15"/>
          <w:color w:val="auto"/>
        </w:rPr>
        <w:t xml:space="preserve"> C</w:t>
      </w:r>
      <w:r>
        <w:rPr>
          <w:rFonts w:ascii="Arial" w:cs="Arial" w:eastAsia="Arial" w:hAnsi="Arial"/>
          <w:sz w:val="11"/>
          <w:szCs w:val="11"/>
          <w:color w:val="auto"/>
        </w:rPr>
        <w:t>ALIFORNIA</w:t>
      </w:r>
      <w:r>
        <w:rPr>
          <w:rFonts w:ascii="Arial" w:cs="Arial" w:eastAsia="Arial" w:hAnsi="Arial"/>
          <w:sz w:val="15"/>
          <w:szCs w:val="15"/>
          <w:color w:val="auto"/>
        </w:rPr>
        <w:t xml:space="preserve"> R</w:t>
      </w:r>
      <w:r>
        <w:rPr>
          <w:rFonts w:ascii="Arial" w:cs="Arial" w:eastAsia="Arial" w:hAnsi="Arial"/>
          <w:sz w:val="11"/>
          <w:szCs w:val="11"/>
          <w:color w:val="auto"/>
        </w:rPr>
        <w:t>ESOURCES</w:t>
      </w:r>
      <w:r>
        <w:rPr>
          <w:rFonts w:ascii="Arial" w:cs="Arial" w:eastAsia="Arial" w:hAnsi="Arial"/>
          <w:sz w:val="15"/>
          <w:szCs w:val="15"/>
          <w:color w:val="auto"/>
        </w:rPr>
        <w:t xml:space="preserve"> C</w:t>
      </w:r>
      <w:r>
        <w:rPr>
          <w:rFonts w:ascii="Arial" w:cs="Arial" w:eastAsia="Arial" w:hAnsi="Arial"/>
          <w:sz w:val="11"/>
          <w:szCs w:val="11"/>
          <w:color w:val="auto"/>
        </w:rPr>
        <w:t>ORPORATION</w:t>
      </w:r>
    </w:p>
    <w:p>
      <w:pPr>
        <w:sectPr>
          <w:pgSz w:w="11900" w:h="16838" w:orient="portrait"/>
          <w:cols w:equalWidth="0" w:num="1">
            <w:col w:w="10120"/>
          </w:cols>
          <w:pgMar w:left="1440" w:top="1440" w:right="339" w:bottom="1440" w:gutter="0" w:footer="0" w:header="0"/>
        </w:sectPr>
      </w:pPr>
    </w:p>
    <w:bookmarkStart w:id="18" w:name="page19"/>
    <w:bookmarkEnd w:id="18"/>
    <w:p>
      <w:pPr>
        <w:spacing w:after="0" w:line="10" w:lineRule="exact"/>
        <w:rPr>
          <w:sz w:val="20"/>
          <w:szCs w:val="20"/>
          <w:color w:val="auto"/>
        </w:rPr>
      </w:pPr>
    </w:p>
    <w:p>
      <w:pPr>
        <w:ind w:left="4100"/>
        <w:spacing w:after="0"/>
        <w:rPr>
          <w:sz w:val="20"/>
          <w:szCs w:val="20"/>
          <w:color w:val="auto"/>
        </w:rPr>
      </w:pPr>
      <w:r>
        <w:rPr>
          <w:rFonts w:ascii="Arial" w:cs="Arial" w:eastAsia="Arial" w:hAnsi="Arial"/>
          <w:sz w:val="20"/>
          <w:szCs w:val="20"/>
          <w:b w:val="1"/>
          <w:bCs w:val="1"/>
          <w:color w:val="auto"/>
        </w:rPr>
        <w:t>MUFG UNION BANK, N.A.,</w:t>
      </w:r>
    </w:p>
    <w:p>
      <w:pPr>
        <w:spacing w:after="0" w:line="19"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367" w:lineRule="exact"/>
        <w:rPr>
          <w:sz w:val="20"/>
          <w:szCs w:val="20"/>
          <w:color w:val="auto"/>
        </w:rPr>
      </w:pPr>
    </w:p>
    <w:tbl>
      <w:tblPr>
        <w:tblLayout w:type="fixed"/>
        <w:tblInd w:w="4100" w:type="dxa"/>
        <w:tblCellMar>
          <w:top w:w="0" w:type="dxa"/>
          <w:left w:w="0" w:type="dxa"/>
          <w:bottom w:w="0" w:type="dxa"/>
          <w:right w:w="0" w:type="dxa"/>
        </w:tblCellMar>
      </w:tblPr>
      <w:tr>
        <w:trPr>
          <w:trHeight w:val="248"/>
        </w:trPr>
        <w:tc>
          <w:tcPr>
            <w:tcW w:w="940" w:type="dxa"/>
            <w:vAlign w:val="bottom"/>
          </w:tcPr>
          <w:p>
            <w:pPr>
              <w:spacing w:after="0"/>
              <w:rPr>
                <w:sz w:val="20"/>
                <w:szCs w:val="20"/>
                <w:color w:val="auto"/>
              </w:rPr>
            </w:pPr>
            <w:r>
              <w:rPr>
                <w:rFonts w:ascii="Arial" w:cs="Arial" w:eastAsia="Arial" w:hAnsi="Arial"/>
                <w:sz w:val="20"/>
                <w:szCs w:val="20"/>
                <w:color w:val="auto"/>
              </w:rPr>
              <w:t>By:</w:t>
            </w:r>
          </w:p>
        </w:tc>
        <w:tc>
          <w:tcPr>
            <w:tcW w:w="5060" w:type="dxa"/>
            <w:vAlign w:val="bottom"/>
          </w:tcPr>
          <w:p>
            <w:pPr>
              <w:ind w:left="20"/>
              <w:spacing w:after="0"/>
              <w:rPr>
                <w:sz w:val="20"/>
                <w:szCs w:val="20"/>
                <w:color w:val="auto"/>
              </w:rPr>
            </w:pPr>
            <w:r>
              <w:rPr>
                <w:rFonts w:ascii="Arial" w:cs="Arial" w:eastAsia="Arial" w:hAnsi="Arial"/>
                <w:sz w:val="20"/>
                <w:szCs w:val="20"/>
                <w:color w:val="auto"/>
              </w:rPr>
              <w:t>/s/ Kevin Sparks</w:t>
            </w:r>
          </w:p>
        </w:tc>
        <w:tc>
          <w:tcPr>
            <w:tcW w:w="0" w:type="dxa"/>
            <w:vAlign w:val="bottom"/>
          </w:tcPr>
          <w:p>
            <w:pPr>
              <w:spacing w:after="0"/>
              <w:rPr>
                <w:sz w:val="1"/>
                <w:szCs w:val="1"/>
                <w:color w:val="auto"/>
              </w:rPr>
            </w:pPr>
          </w:p>
        </w:tc>
      </w:tr>
      <w:tr>
        <w:trPr>
          <w:trHeight w:val="22"/>
        </w:trPr>
        <w:tc>
          <w:tcPr>
            <w:tcW w:w="94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5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1"/>
        </w:trPr>
        <w:tc>
          <w:tcPr>
            <w:tcW w:w="940" w:type="dxa"/>
            <w:vAlign w:val="bottom"/>
            <w:vMerge w:val="continue"/>
          </w:tcPr>
          <w:p>
            <w:pPr>
              <w:spacing w:after="0"/>
              <w:rPr>
                <w:sz w:val="21"/>
                <w:szCs w:val="21"/>
                <w:color w:val="auto"/>
              </w:rPr>
            </w:pPr>
          </w:p>
        </w:tc>
        <w:tc>
          <w:tcPr>
            <w:tcW w:w="5060" w:type="dxa"/>
            <w:vAlign w:val="bottom"/>
          </w:tcPr>
          <w:p>
            <w:pPr>
              <w:ind w:left="20"/>
              <w:spacing w:after="0"/>
              <w:rPr>
                <w:sz w:val="20"/>
                <w:szCs w:val="20"/>
                <w:color w:val="auto"/>
              </w:rPr>
            </w:pPr>
            <w:r>
              <w:rPr>
                <w:rFonts w:ascii="Arial" w:cs="Arial" w:eastAsia="Arial" w:hAnsi="Arial"/>
                <w:sz w:val="20"/>
                <w:szCs w:val="20"/>
                <w:color w:val="auto"/>
              </w:rPr>
              <w:t>Kevin Sparks</w:t>
            </w:r>
          </w:p>
        </w:tc>
        <w:tc>
          <w:tcPr>
            <w:tcW w:w="0" w:type="dxa"/>
            <w:vAlign w:val="bottom"/>
          </w:tcPr>
          <w:p>
            <w:pPr>
              <w:spacing w:after="0"/>
              <w:rPr>
                <w:sz w:val="1"/>
                <w:szCs w:val="1"/>
                <w:color w:val="auto"/>
              </w:rPr>
            </w:pPr>
          </w:p>
        </w:tc>
      </w:tr>
      <w:tr>
        <w:trPr>
          <w:trHeight w:val="280"/>
        </w:trPr>
        <w:tc>
          <w:tcPr>
            <w:tcW w:w="940" w:type="dxa"/>
            <w:vAlign w:val="bottom"/>
          </w:tcPr>
          <w:p>
            <w:pPr>
              <w:spacing w:after="0"/>
              <w:rPr>
                <w:sz w:val="20"/>
                <w:szCs w:val="20"/>
                <w:color w:val="auto"/>
              </w:rPr>
            </w:pPr>
            <w:r>
              <w:rPr>
                <w:rFonts w:ascii="Arial" w:cs="Arial" w:eastAsia="Arial" w:hAnsi="Arial"/>
                <w:sz w:val="20"/>
                <w:szCs w:val="20"/>
                <w:color w:val="auto"/>
              </w:rPr>
              <w:t>Title:</w:t>
            </w:r>
          </w:p>
        </w:tc>
        <w:tc>
          <w:tcPr>
            <w:tcW w:w="5060" w:type="dxa"/>
            <w:vAlign w:val="bottom"/>
          </w:tcPr>
          <w:p>
            <w:pPr>
              <w:ind w:left="20"/>
              <w:spacing w:after="0"/>
              <w:rPr>
                <w:sz w:val="20"/>
                <w:szCs w:val="20"/>
                <w:color w:val="auto"/>
              </w:rPr>
            </w:pPr>
            <w:r>
              <w:rPr>
                <w:rFonts w:ascii="Arial" w:cs="Arial" w:eastAsia="Arial" w:hAnsi="Arial"/>
                <w:sz w:val="20"/>
                <w:szCs w:val="20"/>
                <w:color w:val="auto"/>
              </w:rPr>
              <w:t>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080"/>
        <w:spacing w:after="0"/>
        <w:rPr>
          <w:sz w:val="20"/>
          <w:szCs w:val="20"/>
          <w:color w:val="auto"/>
        </w:rPr>
      </w:pPr>
      <w:r>
        <w:rPr>
          <w:rFonts w:ascii="Arial" w:cs="Arial" w:eastAsia="Arial" w:hAnsi="Arial"/>
          <w:sz w:val="16"/>
          <w:szCs w:val="16"/>
          <w:color w:val="auto"/>
        </w:rPr>
        <w:t>S</w:t>
      </w:r>
      <w:r>
        <w:rPr>
          <w:rFonts w:ascii="Arial" w:cs="Arial" w:eastAsia="Arial" w:hAnsi="Arial"/>
          <w:sz w:val="12"/>
          <w:szCs w:val="12"/>
          <w:color w:val="auto"/>
        </w:rPr>
        <w:t>IGNATURE</w:t>
      </w:r>
      <w:r>
        <w:rPr>
          <w:rFonts w:ascii="Arial" w:cs="Arial" w:eastAsia="Arial" w:hAnsi="Arial"/>
          <w:sz w:val="16"/>
          <w:szCs w:val="16"/>
          <w:color w:val="auto"/>
        </w:rPr>
        <w:t xml:space="preserve"> P</w:t>
      </w:r>
      <w:r>
        <w:rPr>
          <w:rFonts w:ascii="Arial" w:cs="Arial" w:eastAsia="Arial" w:hAnsi="Arial"/>
          <w:sz w:val="12"/>
          <w:szCs w:val="12"/>
          <w:color w:val="auto"/>
        </w:rPr>
        <w:t>AGE</w:t>
      </w:r>
    </w:p>
    <w:p>
      <w:pPr>
        <w:spacing w:after="0" w:line="17" w:lineRule="exact"/>
        <w:rPr>
          <w:sz w:val="20"/>
          <w:szCs w:val="20"/>
          <w:color w:val="auto"/>
        </w:rPr>
      </w:pPr>
    </w:p>
    <w:p>
      <w:pPr>
        <w:jc w:val="center"/>
        <w:ind w:right="1080"/>
        <w:spacing w:after="0"/>
        <w:rPr>
          <w:sz w:val="20"/>
          <w:szCs w:val="20"/>
          <w:color w:val="auto"/>
        </w:rPr>
      </w:pPr>
      <w:r>
        <w:rPr>
          <w:rFonts w:ascii="Arial" w:cs="Arial" w:eastAsia="Arial" w:hAnsi="Arial"/>
          <w:sz w:val="15"/>
          <w:szCs w:val="15"/>
          <w:color w:val="auto"/>
        </w:rPr>
        <w:t>F</w:t>
      </w:r>
      <w:r>
        <w:rPr>
          <w:rFonts w:ascii="Arial" w:cs="Arial" w:eastAsia="Arial" w:hAnsi="Arial"/>
          <w:sz w:val="11"/>
          <w:szCs w:val="11"/>
          <w:color w:val="auto"/>
        </w:rPr>
        <w:t>IRST</w:t>
      </w:r>
      <w:r>
        <w:rPr>
          <w:rFonts w:ascii="Arial" w:cs="Arial" w:eastAsia="Arial" w:hAnsi="Arial"/>
          <w:sz w:val="15"/>
          <w:szCs w:val="15"/>
          <w:color w:val="auto"/>
        </w:rPr>
        <w:t xml:space="preserve"> A</w:t>
      </w:r>
      <w:r>
        <w:rPr>
          <w:rFonts w:ascii="Arial" w:cs="Arial" w:eastAsia="Arial" w:hAnsi="Arial"/>
          <w:sz w:val="11"/>
          <w:szCs w:val="11"/>
          <w:color w:val="auto"/>
        </w:rPr>
        <w:t>MENDMENT –</w:t>
      </w:r>
      <w:r>
        <w:rPr>
          <w:rFonts w:ascii="Arial" w:cs="Arial" w:eastAsia="Arial" w:hAnsi="Arial"/>
          <w:sz w:val="15"/>
          <w:szCs w:val="15"/>
          <w:color w:val="auto"/>
        </w:rPr>
        <w:t xml:space="preserve"> C</w:t>
      </w:r>
      <w:r>
        <w:rPr>
          <w:rFonts w:ascii="Arial" w:cs="Arial" w:eastAsia="Arial" w:hAnsi="Arial"/>
          <w:sz w:val="11"/>
          <w:szCs w:val="11"/>
          <w:color w:val="auto"/>
        </w:rPr>
        <w:t>ALIFORNIA</w:t>
      </w:r>
      <w:r>
        <w:rPr>
          <w:rFonts w:ascii="Arial" w:cs="Arial" w:eastAsia="Arial" w:hAnsi="Arial"/>
          <w:sz w:val="15"/>
          <w:szCs w:val="15"/>
          <w:color w:val="auto"/>
        </w:rPr>
        <w:t xml:space="preserve"> R</w:t>
      </w:r>
      <w:r>
        <w:rPr>
          <w:rFonts w:ascii="Arial" w:cs="Arial" w:eastAsia="Arial" w:hAnsi="Arial"/>
          <w:sz w:val="11"/>
          <w:szCs w:val="11"/>
          <w:color w:val="auto"/>
        </w:rPr>
        <w:t>ESOURCES</w:t>
      </w:r>
      <w:r>
        <w:rPr>
          <w:rFonts w:ascii="Arial" w:cs="Arial" w:eastAsia="Arial" w:hAnsi="Arial"/>
          <w:sz w:val="15"/>
          <w:szCs w:val="15"/>
          <w:color w:val="auto"/>
        </w:rPr>
        <w:t xml:space="preserve"> C</w:t>
      </w:r>
      <w:r>
        <w:rPr>
          <w:rFonts w:ascii="Arial" w:cs="Arial" w:eastAsia="Arial" w:hAnsi="Arial"/>
          <w:sz w:val="11"/>
          <w:szCs w:val="11"/>
          <w:color w:val="auto"/>
        </w:rPr>
        <w:t>ORPORATION</w:t>
      </w:r>
    </w:p>
    <w:p>
      <w:pPr>
        <w:sectPr>
          <w:pgSz w:w="11900" w:h="16838" w:orient="portrait"/>
          <w:cols w:equalWidth="0" w:num="1">
            <w:col w:w="10100"/>
          </w:cols>
          <w:pgMar w:left="1440" w:top="1440" w:right="359" w:bottom="1440" w:gutter="0" w:footer="0" w:header="0"/>
        </w:sectPr>
      </w:pPr>
    </w:p>
    <w:bookmarkStart w:id="19" w:name="page20"/>
    <w:bookmarkEnd w:id="19"/>
    <w:p>
      <w:pPr>
        <w:spacing w:after="0" w:line="10" w:lineRule="exact"/>
        <w:rPr>
          <w:sz w:val="20"/>
          <w:szCs w:val="20"/>
          <w:color w:val="auto"/>
        </w:rPr>
      </w:pPr>
    </w:p>
    <w:p>
      <w:pPr>
        <w:ind w:left="4100"/>
        <w:spacing w:after="0"/>
        <w:rPr>
          <w:sz w:val="20"/>
          <w:szCs w:val="20"/>
          <w:color w:val="auto"/>
        </w:rPr>
      </w:pPr>
      <w:r>
        <w:rPr>
          <w:rFonts w:ascii="Arial" w:cs="Arial" w:eastAsia="Arial" w:hAnsi="Arial"/>
          <w:sz w:val="20"/>
          <w:szCs w:val="20"/>
          <w:b w:val="1"/>
          <w:bCs w:val="1"/>
          <w:color w:val="auto"/>
        </w:rPr>
        <w:t>MIZUHO BANK, LTD.,</w:t>
      </w:r>
    </w:p>
    <w:p>
      <w:pPr>
        <w:spacing w:after="0" w:line="19"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367" w:lineRule="exact"/>
        <w:rPr>
          <w:sz w:val="20"/>
          <w:szCs w:val="20"/>
          <w:color w:val="auto"/>
        </w:rPr>
      </w:pPr>
    </w:p>
    <w:tbl>
      <w:tblPr>
        <w:tblLayout w:type="fixed"/>
        <w:tblInd w:w="4100" w:type="dxa"/>
        <w:tblCellMar>
          <w:top w:w="0" w:type="dxa"/>
          <w:left w:w="0" w:type="dxa"/>
          <w:bottom w:w="0" w:type="dxa"/>
          <w:right w:w="0" w:type="dxa"/>
        </w:tblCellMar>
      </w:tblPr>
      <w:tr>
        <w:trPr>
          <w:trHeight w:val="248"/>
        </w:trPr>
        <w:tc>
          <w:tcPr>
            <w:tcW w:w="940" w:type="dxa"/>
            <w:vAlign w:val="bottom"/>
          </w:tcPr>
          <w:p>
            <w:pPr>
              <w:spacing w:after="0"/>
              <w:rPr>
                <w:sz w:val="20"/>
                <w:szCs w:val="20"/>
                <w:color w:val="auto"/>
              </w:rPr>
            </w:pPr>
            <w:r>
              <w:rPr>
                <w:rFonts w:ascii="Arial" w:cs="Arial" w:eastAsia="Arial" w:hAnsi="Arial"/>
                <w:sz w:val="20"/>
                <w:szCs w:val="20"/>
                <w:color w:val="auto"/>
              </w:rPr>
              <w:t>By:</w:t>
            </w:r>
          </w:p>
        </w:tc>
        <w:tc>
          <w:tcPr>
            <w:tcW w:w="5060" w:type="dxa"/>
            <w:vAlign w:val="bottom"/>
          </w:tcPr>
          <w:p>
            <w:pPr>
              <w:ind w:left="20"/>
              <w:spacing w:after="0"/>
              <w:rPr>
                <w:sz w:val="20"/>
                <w:szCs w:val="20"/>
                <w:color w:val="auto"/>
              </w:rPr>
            </w:pPr>
            <w:r>
              <w:rPr>
                <w:rFonts w:ascii="Arial" w:cs="Arial" w:eastAsia="Arial" w:hAnsi="Arial"/>
                <w:sz w:val="20"/>
                <w:szCs w:val="20"/>
                <w:color w:val="auto"/>
              </w:rPr>
              <w:t>/s/ Edward Sacks</w:t>
            </w:r>
          </w:p>
        </w:tc>
        <w:tc>
          <w:tcPr>
            <w:tcW w:w="0" w:type="dxa"/>
            <w:vAlign w:val="bottom"/>
          </w:tcPr>
          <w:p>
            <w:pPr>
              <w:spacing w:after="0"/>
              <w:rPr>
                <w:sz w:val="1"/>
                <w:szCs w:val="1"/>
                <w:color w:val="auto"/>
              </w:rPr>
            </w:pPr>
          </w:p>
        </w:tc>
      </w:tr>
      <w:tr>
        <w:trPr>
          <w:trHeight w:val="22"/>
        </w:trPr>
        <w:tc>
          <w:tcPr>
            <w:tcW w:w="94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5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1"/>
        </w:trPr>
        <w:tc>
          <w:tcPr>
            <w:tcW w:w="940" w:type="dxa"/>
            <w:vAlign w:val="bottom"/>
            <w:vMerge w:val="continue"/>
          </w:tcPr>
          <w:p>
            <w:pPr>
              <w:spacing w:after="0"/>
              <w:rPr>
                <w:sz w:val="21"/>
                <w:szCs w:val="21"/>
                <w:color w:val="auto"/>
              </w:rPr>
            </w:pPr>
          </w:p>
        </w:tc>
        <w:tc>
          <w:tcPr>
            <w:tcW w:w="5060" w:type="dxa"/>
            <w:vAlign w:val="bottom"/>
          </w:tcPr>
          <w:p>
            <w:pPr>
              <w:ind w:left="20"/>
              <w:spacing w:after="0"/>
              <w:rPr>
                <w:sz w:val="20"/>
                <w:szCs w:val="20"/>
                <w:color w:val="auto"/>
              </w:rPr>
            </w:pPr>
            <w:r>
              <w:rPr>
                <w:rFonts w:ascii="Arial" w:cs="Arial" w:eastAsia="Arial" w:hAnsi="Arial"/>
                <w:sz w:val="20"/>
                <w:szCs w:val="20"/>
                <w:color w:val="auto"/>
              </w:rPr>
              <w:t>Edward Sacks</w:t>
            </w:r>
          </w:p>
        </w:tc>
        <w:tc>
          <w:tcPr>
            <w:tcW w:w="0" w:type="dxa"/>
            <w:vAlign w:val="bottom"/>
          </w:tcPr>
          <w:p>
            <w:pPr>
              <w:spacing w:after="0"/>
              <w:rPr>
                <w:sz w:val="1"/>
                <w:szCs w:val="1"/>
                <w:color w:val="auto"/>
              </w:rPr>
            </w:pPr>
          </w:p>
        </w:tc>
      </w:tr>
      <w:tr>
        <w:trPr>
          <w:trHeight w:val="280"/>
        </w:trPr>
        <w:tc>
          <w:tcPr>
            <w:tcW w:w="940" w:type="dxa"/>
            <w:vAlign w:val="bottom"/>
          </w:tcPr>
          <w:p>
            <w:pPr>
              <w:spacing w:after="0"/>
              <w:rPr>
                <w:sz w:val="20"/>
                <w:szCs w:val="20"/>
                <w:color w:val="auto"/>
              </w:rPr>
            </w:pPr>
            <w:r>
              <w:rPr>
                <w:rFonts w:ascii="Arial" w:cs="Arial" w:eastAsia="Arial" w:hAnsi="Arial"/>
                <w:sz w:val="20"/>
                <w:szCs w:val="20"/>
                <w:color w:val="auto"/>
              </w:rPr>
              <w:t>Title:</w:t>
            </w:r>
          </w:p>
        </w:tc>
        <w:tc>
          <w:tcPr>
            <w:tcW w:w="5060" w:type="dxa"/>
            <w:vAlign w:val="bottom"/>
          </w:tcPr>
          <w:p>
            <w:pPr>
              <w:ind w:left="20"/>
              <w:spacing w:after="0"/>
              <w:rPr>
                <w:sz w:val="20"/>
                <w:szCs w:val="20"/>
                <w:color w:val="auto"/>
              </w:rPr>
            </w:pPr>
            <w:r>
              <w:rPr>
                <w:rFonts w:ascii="Arial" w:cs="Arial" w:eastAsia="Arial" w:hAnsi="Arial"/>
                <w:sz w:val="20"/>
                <w:szCs w:val="20"/>
                <w:color w:val="auto"/>
              </w:rPr>
              <w:t>Executive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080"/>
        <w:spacing w:after="0"/>
        <w:rPr>
          <w:sz w:val="20"/>
          <w:szCs w:val="20"/>
          <w:color w:val="auto"/>
        </w:rPr>
      </w:pPr>
      <w:r>
        <w:rPr>
          <w:rFonts w:ascii="Arial" w:cs="Arial" w:eastAsia="Arial" w:hAnsi="Arial"/>
          <w:sz w:val="16"/>
          <w:szCs w:val="16"/>
          <w:color w:val="auto"/>
        </w:rPr>
        <w:t>S</w:t>
      </w:r>
      <w:r>
        <w:rPr>
          <w:rFonts w:ascii="Arial" w:cs="Arial" w:eastAsia="Arial" w:hAnsi="Arial"/>
          <w:sz w:val="12"/>
          <w:szCs w:val="12"/>
          <w:color w:val="auto"/>
        </w:rPr>
        <w:t>IGNATURE</w:t>
      </w:r>
      <w:r>
        <w:rPr>
          <w:rFonts w:ascii="Arial" w:cs="Arial" w:eastAsia="Arial" w:hAnsi="Arial"/>
          <w:sz w:val="16"/>
          <w:szCs w:val="16"/>
          <w:color w:val="auto"/>
        </w:rPr>
        <w:t xml:space="preserve"> P</w:t>
      </w:r>
      <w:r>
        <w:rPr>
          <w:rFonts w:ascii="Arial" w:cs="Arial" w:eastAsia="Arial" w:hAnsi="Arial"/>
          <w:sz w:val="12"/>
          <w:szCs w:val="12"/>
          <w:color w:val="auto"/>
        </w:rPr>
        <w:t>AGE</w:t>
      </w:r>
    </w:p>
    <w:p>
      <w:pPr>
        <w:spacing w:after="0" w:line="17" w:lineRule="exact"/>
        <w:rPr>
          <w:sz w:val="20"/>
          <w:szCs w:val="20"/>
          <w:color w:val="auto"/>
        </w:rPr>
      </w:pPr>
    </w:p>
    <w:p>
      <w:pPr>
        <w:jc w:val="center"/>
        <w:ind w:right="1080"/>
        <w:spacing w:after="0"/>
        <w:rPr>
          <w:sz w:val="20"/>
          <w:szCs w:val="20"/>
          <w:color w:val="auto"/>
        </w:rPr>
      </w:pPr>
      <w:r>
        <w:rPr>
          <w:rFonts w:ascii="Arial" w:cs="Arial" w:eastAsia="Arial" w:hAnsi="Arial"/>
          <w:sz w:val="15"/>
          <w:szCs w:val="15"/>
          <w:color w:val="auto"/>
        </w:rPr>
        <w:t>F</w:t>
      </w:r>
      <w:r>
        <w:rPr>
          <w:rFonts w:ascii="Arial" w:cs="Arial" w:eastAsia="Arial" w:hAnsi="Arial"/>
          <w:sz w:val="11"/>
          <w:szCs w:val="11"/>
          <w:color w:val="auto"/>
        </w:rPr>
        <w:t>IRST</w:t>
      </w:r>
      <w:r>
        <w:rPr>
          <w:rFonts w:ascii="Arial" w:cs="Arial" w:eastAsia="Arial" w:hAnsi="Arial"/>
          <w:sz w:val="15"/>
          <w:szCs w:val="15"/>
          <w:color w:val="auto"/>
        </w:rPr>
        <w:t xml:space="preserve"> A</w:t>
      </w:r>
      <w:r>
        <w:rPr>
          <w:rFonts w:ascii="Arial" w:cs="Arial" w:eastAsia="Arial" w:hAnsi="Arial"/>
          <w:sz w:val="11"/>
          <w:szCs w:val="11"/>
          <w:color w:val="auto"/>
        </w:rPr>
        <w:t>MENDMENT –</w:t>
      </w:r>
      <w:r>
        <w:rPr>
          <w:rFonts w:ascii="Arial" w:cs="Arial" w:eastAsia="Arial" w:hAnsi="Arial"/>
          <w:sz w:val="15"/>
          <w:szCs w:val="15"/>
          <w:color w:val="auto"/>
        </w:rPr>
        <w:t xml:space="preserve"> C</w:t>
      </w:r>
      <w:r>
        <w:rPr>
          <w:rFonts w:ascii="Arial" w:cs="Arial" w:eastAsia="Arial" w:hAnsi="Arial"/>
          <w:sz w:val="11"/>
          <w:szCs w:val="11"/>
          <w:color w:val="auto"/>
        </w:rPr>
        <w:t>ALIFORNIA</w:t>
      </w:r>
      <w:r>
        <w:rPr>
          <w:rFonts w:ascii="Arial" w:cs="Arial" w:eastAsia="Arial" w:hAnsi="Arial"/>
          <w:sz w:val="15"/>
          <w:szCs w:val="15"/>
          <w:color w:val="auto"/>
        </w:rPr>
        <w:t xml:space="preserve"> R</w:t>
      </w:r>
      <w:r>
        <w:rPr>
          <w:rFonts w:ascii="Arial" w:cs="Arial" w:eastAsia="Arial" w:hAnsi="Arial"/>
          <w:sz w:val="11"/>
          <w:szCs w:val="11"/>
          <w:color w:val="auto"/>
        </w:rPr>
        <w:t>ESOURCES</w:t>
      </w:r>
      <w:r>
        <w:rPr>
          <w:rFonts w:ascii="Arial" w:cs="Arial" w:eastAsia="Arial" w:hAnsi="Arial"/>
          <w:sz w:val="15"/>
          <w:szCs w:val="15"/>
          <w:color w:val="auto"/>
        </w:rPr>
        <w:t xml:space="preserve"> C</w:t>
      </w:r>
      <w:r>
        <w:rPr>
          <w:rFonts w:ascii="Arial" w:cs="Arial" w:eastAsia="Arial" w:hAnsi="Arial"/>
          <w:sz w:val="11"/>
          <w:szCs w:val="11"/>
          <w:color w:val="auto"/>
        </w:rPr>
        <w:t>ORPORATION</w:t>
      </w:r>
    </w:p>
    <w:p>
      <w:pPr>
        <w:sectPr>
          <w:pgSz w:w="11900" w:h="16838" w:orient="portrait"/>
          <w:cols w:equalWidth="0" w:num="1">
            <w:col w:w="10100"/>
          </w:cols>
          <w:pgMar w:left="1440" w:top="1440" w:right="359" w:bottom="1440" w:gutter="0" w:footer="0" w:header="0"/>
        </w:sectPr>
      </w:pPr>
    </w:p>
    <w:bookmarkStart w:id="20" w:name="page21"/>
    <w:bookmarkEnd w:id="20"/>
    <w:p>
      <w:pPr>
        <w:spacing w:after="0" w:line="10" w:lineRule="exact"/>
        <w:rPr>
          <w:sz w:val="20"/>
          <w:szCs w:val="20"/>
          <w:color w:val="auto"/>
        </w:rPr>
      </w:pPr>
    </w:p>
    <w:p>
      <w:pPr>
        <w:ind w:left="4100"/>
        <w:spacing w:after="0"/>
        <w:rPr>
          <w:sz w:val="20"/>
          <w:szCs w:val="20"/>
          <w:color w:val="auto"/>
        </w:rPr>
      </w:pPr>
      <w:r>
        <w:rPr>
          <w:rFonts w:ascii="Arial" w:cs="Arial" w:eastAsia="Arial" w:hAnsi="Arial"/>
          <w:sz w:val="20"/>
          <w:szCs w:val="20"/>
          <w:b w:val="1"/>
          <w:bCs w:val="1"/>
          <w:color w:val="auto"/>
        </w:rPr>
        <w:t>ROYAL BANK OF CANADA,</w:t>
      </w:r>
    </w:p>
    <w:p>
      <w:pPr>
        <w:spacing w:after="0" w:line="19"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367" w:lineRule="exact"/>
        <w:rPr>
          <w:sz w:val="20"/>
          <w:szCs w:val="20"/>
          <w:color w:val="auto"/>
        </w:rPr>
      </w:pPr>
    </w:p>
    <w:tbl>
      <w:tblPr>
        <w:tblLayout w:type="fixed"/>
        <w:tblInd w:w="4100" w:type="dxa"/>
        <w:tblCellMar>
          <w:top w:w="0" w:type="dxa"/>
          <w:left w:w="0" w:type="dxa"/>
          <w:bottom w:w="0" w:type="dxa"/>
          <w:right w:w="0" w:type="dxa"/>
        </w:tblCellMar>
      </w:tblPr>
      <w:tr>
        <w:trPr>
          <w:trHeight w:val="248"/>
        </w:trPr>
        <w:tc>
          <w:tcPr>
            <w:tcW w:w="940" w:type="dxa"/>
            <w:vAlign w:val="bottom"/>
          </w:tcPr>
          <w:p>
            <w:pPr>
              <w:spacing w:after="0"/>
              <w:rPr>
                <w:sz w:val="20"/>
                <w:szCs w:val="20"/>
                <w:color w:val="auto"/>
              </w:rPr>
            </w:pPr>
            <w:r>
              <w:rPr>
                <w:rFonts w:ascii="Arial" w:cs="Arial" w:eastAsia="Arial" w:hAnsi="Arial"/>
                <w:sz w:val="20"/>
                <w:szCs w:val="20"/>
                <w:color w:val="auto"/>
              </w:rPr>
              <w:t>By:</w:t>
            </w:r>
          </w:p>
        </w:tc>
        <w:tc>
          <w:tcPr>
            <w:tcW w:w="5060" w:type="dxa"/>
            <w:vAlign w:val="bottom"/>
          </w:tcPr>
          <w:p>
            <w:pPr>
              <w:ind w:left="20"/>
              <w:spacing w:after="0"/>
              <w:rPr>
                <w:sz w:val="20"/>
                <w:szCs w:val="20"/>
                <w:color w:val="auto"/>
              </w:rPr>
            </w:pPr>
            <w:r>
              <w:rPr>
                <w:rFonts w:ascii="Arial" w:cs="Arial" w:eastAsia="Arial" w:hAnsi="Arial"/>
                <w:sz w:val="20"/>
                <w:szCs w:val="20"/>
                <w:color w:val="auto"/>
              </w:rPr>
              <w:t>/s/ Emilee Scott</w:t>
            </w:r>
          </w:p>
        </w:tc>
        <w:tc>
          <w:tcPr>
            <w:tcW w:w="0" w:type="dxa"/>
            <w:vAlign w:val="bottom"/>
          </w:tcPr>
          <w:p>
            <w:pPr>
              <w:spacing w:after="0"/>
              <w:rPr>
                <w:sz w:val="1"/>
                <w:szCs w:val="1"/>
                <w:color w:val="auto"/>
              </w:rPr>
            </w:pPr>
          </w:p>
        </w:tc>
      </w:tr>
      <w:tr>
        <w:trPr>
          <w:trHeight w:val="22"/>
        </w:trPr>
        <w:tc>
          <w:tcPr>
            <w:tcW w:w="94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5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1"/>
        </w:trPr>
        <w:tc>
          <w:tcPr>
            <w:tcW w:w="940" w:type="dxa"/>
            <w:vAlign w:val="bottom"/>
            <w:vMerge w:val="continue"/>
          </w:tcPr>
          <w:p>
            <w:pPr>
              <w:spacing w:after="0"/>
              <w:rPr>
                <w:sz w:val="21"/>
                <w:szCs w:val="21"/>
                <w:color w:val="auto"/>
              </w:rPr>
            </w:pPr>
          </w:p>
        </w:tc>
        <w:tc>
          <w:tcPr>
            <w:tcW w:w="5060" w:type="dxa"/>
            <w:vAlign w:val="bottom"/>
          </w:tcPr>
          <w:p>
            <w:pPr>
              <w:ind w:left="20"/>
              <w:spacing w:after="0"/>
              <w:rPr>
                <w:sz w:val="20"/>
                <w:szCs w:val="20"/>
                <w:color w:val="auto"/>
              </w:rPr>
            </w:pPr>
            <w:r>
              <w:rPr>
                <w:rFonts w:ascii="Arial" w:cs="Arial" w:eastAsia="Arial" w:hAnsi="Arial"/>
                <w:sz w:val="20"/>
                <w:szCs w:val="20"/>
                <w:color w:val="auto"/>
              </w:rPr>
              <w:t>Emilee Scott</w:t>
            </w:r>
          </w:p>
        </w:tc>
        <w:tc>
          <w:tcPr>
            <w:tcW w:w="0" w:type="dxa"/>
            <w:vAlign w:val="bottom"/>
          </w:tcPr>
          <w:p>
            <w:pPr>
              <w:spacing w:after="0"/>
              <w:rPr>
                <w:sz w:val="1"/>
                <w:szCs w:val="1"/>
                <w:color w:val="auto"/>
              </w:rPr>
            </w:pPr>
          </w:p>
        </w:tc>
      </w:tr>
      <w:tr>
        <w:trPr>
          <w:trHeight w:val="280"/>
        </w:trPr>
        <w:tc>
          <w:tcPr>
            <w:tcW w:w="940" w:type="dxa"/>
            <w:vAlign w:val="bottom"/>
          </w:tcPr>
          <w:p>
            <w:pPr>
              <w:spacing w:after="0"/>
              <w:rPr>
                <w:sz w:val="20"/>
                <w:szCs w:val="20"/>
                <w:color w:val="auto"/>
              </w:rPr>
            </w:pPr>
            <w:r>
              <w:rPr>
                <w:rFonts w:ascii="Arial" w:cs="Arial" w:eastAsia="Arial" w:hAnsi="Arial"/>
                <w:sz w:val="20"/>
                <w:szCs w:val="20"/>
                <w:color w:val="auto"/>
              </w:rPr>
              <w:t>Title:</w:t>
            </w:r>
          </w:p>
        </w:tc>
        <w:tc>
          <w:tcPr>
            <w:tcW w:w="5060" w:type="dxa"/>
            <w:vAlign w:val="bottom"/>
          </w:tcPr>
          <w:p>
            <w:pPr>
              <w:ind w:left="20"/>
              <w:spacing w:after="0"/>
              <w:rPr>
                <w:sz w:val="20"/>
                <w:szCs w:val="20"/>
                <w:color w:val="auto"/>
              </w:rPr>
            </w:pPr>
            <w:r>
              <w:rPr>
                <w:rFonts w:ascii="Arial" w:cs="Arial" w:eastAsia="Arial" w:hAnsi="Arial"/>
                <w:sz w:val="20"/>
                <w:szCs w:val="20"/>
                <w:color w:val="auto"/>
              </w:rPr>
              <w:t>Authorized Signatory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080"/>
        <w:spacing w:after="0"/>
        <w:rPr>
          <w:sz w:val="20"/>
          <w:szCs w:val="20"/>
          <w:color w:val="auto"/>
        </w:rPr>
      </w:pPr>
      <w:r>
        <w:rPr>
          <w:rFonts w:ascii="Arial" w:cs="Arial" w:eastAsia="Arial" w:hAnsi="Arial"/>
          <w:sz w:val="16"/>
          <w:szCs w:val="16"/>
          <w:color w:val="auto"/>
        </w:rPr>
        <w:t>S</w:t>
      </w:r>
      <w:r>
        <w:rPr>
          <w:rFonts w:ascii="Arial" w:cs="Arial" w:eastAsia="Arial" w:hAnsi="Arial"/>
          <w:sz w:val="12"/>
          <w:szCs w:val="12"/>
          <w:color w:val="auto"/>
        </w:rPr>
        <w:t>IGNATURE</w:t>
      </w:r>
      <w:r>
        <w:rPr>
          <w:rFonts w:ascii="Arial" w:cs="Arial" w:eastAsia="Arial" w:hAnsi="Arial"/>
          <w:sz w:val="16"/>
          <w:szCs w:val="16"/>
          <w:color w:val="auto"/>
        </w:rPr>
        <w:t xml:space="preserve"> P</w:t>
      </w:r>
      <w:r>
        <w:rPr>
          <w:rFonts w:ascii="Arial" w:cs="Arial" w:eastAsia="Arial" w:hAnsi="Arial"/>
          <w:sz w:val="12"/>
          <w:szCs w:val="12"/>
          <w:color w:val="auto"/>
        </w:rPr>
        <w:t>AGE</w:t>
      </w:r>
    </w:p>
    <w:p>
      <w:pPr>
        <w:spacing w:after="0" w:line="17" w:lineRule="exact"/>
        <w:rPr>
          <w:sz w:val="20"/>
          <w:szCs w:val="20"/>
          <w:color w:val="auto"/>
        </w:rPr>
      </w:pPr>
    </w:p>
    <w:p>
      <w:pPr>
        <w:jc w:val="center"/>
        <w:ind w:right="1080"/>
        <w:spacing w:after="0"/>
        <w:rPr>
          <w:sz w:val="20"/>
          <w:szCs w:val="20"/>
          <w:color w:val="auto"/>
        </w:rPr>
      </w:pPr>
      <w:r>
        <w:rPr>
          <w:rFonts w:ascii="Arial" w:cs="Arial" w:eastAsia="Arial" w:hAnsi="Arial"/>
          <w:sz w:val="15"/>
          <w:szCs w:val="15"/>
          <w:color w:val="auto"/>
        </w:rPr>
        <w:t>F</w:t>
      </w:r>
      <w:r>
        <w:rPr>
          <w:rFonts w:ascii="Arial" w:cs="Arial" w:eastAsia="Arial" w:hAnsi="Arial"/>
          <w:sz w:val="11"/>
          <w:szCs w:val="11"/>
          <w:color w:val="auto"/>
        </w:rPr>
        <w:t>IRST</w:t>
      </w:r>
      <w:r>
        <w:rPr>
          <w:rFonts w:ascii="Arial" w:cs="Arial" w:eastAsia="Arial" w:hAnsi="Arial"/>
          <w:sz w:val="15"/>
          <w:szCs w:val="15"/>
          <w:color w:val="auto"/>
        </w:rPr>
        <w:t xml:space="preserve"> A</w:t>
      </w:r>
      <w:r>
        <w:rPr>
          <w:rFonts w:ascii="Arial" w:cs="Arial" w:eastAsia="Arial" w:hAnsi="Arial"/>
          <w:sz w:val="11"/>
          <w:szCs w:val="11"/>
          <w:color w:val="auto"/>
        </w:rPr>
        <w:t>MENDMENT –</w:t>
      </w:r>
      <w:r>
        <w:rPr>
          <w:rFonts w:ascii="Arial" w:cs="Arial" w:eastAsia="Arial" w:hAnsi="Arial"/>
          <w:sz w:val="15"/>
          <w:szCs w:val="15"/>
          <w:color w:val="auto"/>
        </w:rPr>
        <w:t xml:space="preserve"> C</w:t>
      </w:r>
      <w:r>
        <w:rPr>
          <w:rFonts w:ascii="Arial" w:cs="Arial" w:eastAsia="Arial" w:hAnsi="Arial"/>
          <w:sz w:val="11"/>
          <w:szCs w:val="11"/>
          <w:color w:val="auto"/>
        </w:rPr>
        <w:t>ALIFORNIA</w:t>
      </w:r>
      <w:r>
        <w:rPr>
          <w:rFonts w:ascii="Arial" w:cs="Arial" w:eastAsia="Arial" w:hAnsi="Arial"/>
          <w:sz w:val="15"/>
          <w:szCs w:val="15"/>
          <w:color w:val="auto"/>
        </w:rPr>
        <w:t xml:space="preserve"> R</w:t>
      </w:r>
      <w:r>
        <w:rPr>
          <w:rFonts w:ascii="Arial" w:cs="Arial" w:eastAsia="Arial" w:hAnsi="Arial"/>
          <w:sz w:val="11"/>
          <w:szCs w:val="11"/>
          <w:color w:val="auto"/>
        </w:rPr>
        <w:t>ESOURCES</w:t>
      </w:r>
      <w:r>
        <w:rPr>
          <w:rFonts w:ascii="Arial" w:cs="Arial" w:eastAsia="Arial" w:hAnsi="Arial"/>
          <w:sz w:val="15"/>
          <w:szCs w:val="15"/>
          <w:color w:val="auto"/>
        </w:rPr>
        <w:t xml:space="preserve"> C</w:t>
      </w:r>
      <w:r>
        <w:rPr>
          <w:rFonts w:ascii="Arial" w:cs="Arial" w:eastAsia="Arial" w:hAnsi="Arial"/>
          <w:sz w:val="11"/>
          <w:szCs w:val="11"/>
          <w:color w:val="auto"/>
        </w:rPr>
        <w:t>ORPORATION</w:t>
      </w:r>
    </w:p>
    <w:p>
      <w:pPr>
        <w:sectPr>
          <w:pgSz w:w="11900" w:h="16838" w:orient="portrait"/>
          <w:cols w:equalWidth="0" w:num="1">
            <w:col w:w="10100"/>
          </w:cols>
          <w:pgMar w:left="1440" w:top="1440" w:right="359" w:bottom="1440" w:gutter="0" w:footer="0" w:header="0"/>
        </w:sectPr>
      </w:pPr>
    </w:p>
    <w:bookmarkStart w:id="21" w:name="page22"/>
    <w:bookmarkEnd w:id="21"/>
    <w:p>
      <w:pPr>
        <w:spacing w:after="0" w:line="10" w:lineRule="exact"/>
        <w:rPr>
          <w:sz w:val="20"/>
          <w:szCs w:val="20"/>
          <w:color w:val="auto"/>
        </w:rPr>
      </w:pPr>
    </w:p>
    <w:p>
      <w:pPr>
        <w:ind w:left="4100"/>
        <w:spacing w:after="0"/>
        <w:rPr>
          <w:sz w:val="20"/>
          <w:szCs w:val="20"/>
          <w:color w:val="auto"/>
        </w:rPr>
      </w:pPr>
      <w:r>
        <w:rPr>
          <w:rFonts w:ascii="Arial" w:cs="Arial" w:eastAsia="Arial" w:hAnsi="Arial"/>
          <w:sz w:val="20"/>
          <w:szCs w:val="20"/>
          <w:b w:val="1"/>
          <w:bCs w:val="1"/>
          <w:color w:val="auto"/>
        </w:rPr>
        <w:t>JPMORGAN CHASE BANK, N.A.,</w:t>
      </w:r>
    </w:p>
    <w:p>
      <w:pPr>
        <w:spacing w:after="0" w:line="19"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367" w:lineRule="exact"/>
        <w:rPr>
          <w:sz w:val="20"/>
          <w:szCs w:val="20"/>
          <w:color w:val="auto"/>
        </w:rPr>
      </w:pPr>
    </w:p>
    <w:tbl>
      <w:tblPr>
        <w:tblLayout w:type="fixed"/>
        <w:tblInd w:w="4100" w:type="dxa"/>
        <w:tblCellMar>
          <w:top w:w="0" w:type="dxa"/>
          <w:left w:w="0" w:type="dxa"/>
          <w:bottom w:w="0" w:type="dxa"/>
          <w:right w:w="0" w:type="dxa"/>
        </w:tblCellMar>
      </w:tblPr>
      <w:tr>
        <w:trPr>
          <w:trHeight w:val="248"/>
        </w:trPr>
        <w:tc>
          <w:tcPr>
            <w:tcW w:w="940" w:type="dxa"/>
            <w:vAlign w:val="bottom"/>
          </w:tcPr>
          <w:p>
            <w:pPr>
              <w:spacing w:after="0"/>
              <w:rPr>
                <w:sz w:val="20"/>
                <w:szCs w:val="20"/>
                <w:color w:val="auto"/>
              </w:rPr>
            </w:pPr>
            <w:r>
              <w:rPr>
                <w:rFonts w:ascii="Arial" w:cs="Arial" w:eastAsia="Arial" w:hAnsi="Arial"/>
                <w:sz w:val="20"/>
                <w:szCs w:val="20"/>
                <w:color w:val="auto"/>
              </w:rPr>
              <w:t>By:</w:t>
            </w:r>
          </w:p>
        </w:tc>
        <w:tc>
          <w:tcPr>
            <w:tcW w:w="5060" w:type="dxa"/>
            <w:vAlign w:val="bottom"/>
          </w:tcPr>
          <w:p>
            <w:pPr>
              <w:ind w:left="20"/>
              <w:spacing w:after="0"/>
              <w:rPr>
                <w:sz w:val="20"/>
                <w:szCs w:val="20"/>
                <w:color w:val="auto"/>
              </w:rPr>
            </w:pPr>
            <w:r>
              <w:rPr>
                <w:rFonts w:ascii="Arial" w:cs="Arial" w:eastAsia="Arial" w:hAnsi="Arial"/>
                <w:sz w:val="20"/>
                <w:szCs w:val="20"/>
                <w:color w:val="auto"/>
              </w:rPr>
              <w:t>/s/ Arina Mavilian</w:t>
            </w:r>
          </w:p>
        </w:tc>
        <w:tc>
          <w:tcPr>
            <w:tcW w:w="0" w:type="dxa"/>
            <w:vAlign w:val="bottom"/>
          </w:tcPr>
          <w:p>
            <w:pPr>
              <w:spacing w:after="0"/>
              <w:rPr>
                <w:sz w:val="1"/>
                <w:szCs w:val="1"/>
                <w:color w:val="auto"/>
              </w:rPr>
            </w:pPr>
          </w:p>
        </w:tc>
      </w:tr>
      <w:tr>
        <w:trPr>
          <w:trHeight w:val="22"/>
        </w:trPr>
        <w:tc>
          <w:tcPr>
            <w:tcW w:w="94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5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1"/>
        </w:trPr>
        <w:tc>
          <w:tcPr>
            <w:tcW w:w="940" w:type="dxa"/>
            <w:vAlign w:val="bottom"/>
            <w:vMerge w:val="continue"/>
          </w:tcPr>
          <w:p>
            <w:pPr>
              <w:spacing w:after="0"/>
              <w:rPr>
                <w:sz w:val="21"/>
                <w:szCs w:val="21"/>
                <w:color w:val="auto"/>
              </w:rPr>
            </w:pPr>
          </w:p>
        </w:tc>
        <w:tc>
          <w:tcPr>
            <w:tcW w:w="5060" w:type="dxa"/>
            <w:vAlign w:val="bottom"/>
          </w:tcPr>
          <w:p>
            <w:pPr>
              <w:ind w:left="20"/>
              <w:spacing w:after="0"/>
              <w:rPr>
                <w:sz w:val="20"/>
                <w:szCs w:val="20"/>
                <w:color w:val="auto"/>
              </w:rPr>
            </w:pPr>
            <w:r>
              <w:rPr>
                <w:rFonts w:ascii="Arial" w:cs="Arial" w:eastAsia="Arial" w:hAnsi="Arial"/>
                <w:sz w:val="20"/>
                <w:szCs w:val="20"/>
                <w:color w:val="auto"/>
              </w:rPr>
              <w:t>Arina Mavilian</w:t>
            </w:r>
          </w:p>
        </w:tc>
        <w:tc>
          <w:tcPr>
            <w:tcW w:w="0" w:type="dxa"/>
            <w:vAlign w:val="bottom"/>
          </w:tcPr>
          <w:p>
            <w:pPr>
              <w:spacing w:after="0"/>
              <w:rPr>
                <w:sz w:val="1"/>
                <w:szCs w:val="1"/>
                <w:color w:val="auto"/>
              </w:rPr>
            </w:pPr>
          </w:p>
        </w:tc>
      </w:tr>
      <w:tr>
        <w:trPr>
          <w:trHeight w:val="280"/>
        </w:trPr>
        <w:tc>
          <w:tcPr>
            <w:tcW w:w="940" w:type="dxa"/>
            <w:vAlign w:val="bottom"/>
          </w:tcPr>
          <w:p>
            <w:pPr>
              <w:spacing w:after="0"/>
              <w:rPr>
                <w:sz w:val="20"/>
                <w:szCs w:val="20"/>
                <w:color w:val="auto"/>
              </w:rPr>
            </w:pPr>
            <w:r>
              <w:rPr>
                <w:rFonts w:ascii="Arial" w:cs="Arial" w:eastAsia="Arial" w:hAnsi="Arial"/>
                <w:sz w:val="20"/>
                <w:szCs w:val="20"/>
                <w:color w:val="auto"/>
              </w:rPr>
              <w:t>Title:</w:t>
            </w:r>
          </w:p>
        </w:tc>
        <w:tc>
          <w:tcPr>
            <w:tcW w:w="5060" w:type="dxa"/>
            <w:vAlign w:val="bottom"/>
          </w:tcPr>
          <w:p>
            <w:pPr>
              <w:ind w:left="20"/>
              <w:spacing w:after="0"/>
              <w:rPr>
                <w:sz w:val="20"/>
                <w:szCs w:val="20"/>
                <w:color w:val="auto"/>
              </w:rPr>
            </w:pPr>
            <w:r>
              <w:rPr>
                <w:rFonts w:ascii="Arial" w:cs="Arial" w:eastAsia="Arial" w:hAnsi="Arial"/>
                <w:sz w:val="20"/>
                <w:szCs w:val="20"/>
                <w:color w:val="auto"/>
              </w:rPr>
              <w:t>Executive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080"/>
        <w:spacing w:after="0"/>
        <w:rPr>
          <w:sz w:val="20"/>
          <w:szCs w:val="20"/>
          <w:color w:val="auto"/>
        </w:rPr>
      </w:pPr>
      <w:r>
        <w:rPr>
          <w:rFonts w:ascii="Arial" w:cs="Arial" w:eastAsia="Arial" w:hAnsi="Arial"/>
          <w:sz w:val="16"/>
          <w:szCs w:val="16"/>
          <w:color w:val="auto"/>
        </w:rPr>
        <w:t>S</w:t>
      </w:r>
      <w:r>
        <w:rPr>
          <w:rFonts w:ascii="Arial" w:cs="Arial" w:eastAsia="Arial" w:hAnsi="Arial"/>
          <w:sz w:val="12"/>
          <w:szCs w:val="12"/>
          <w:color w:val="auto"/>
        </w:rPr>
        <w:t>IGNATURE</w:t>
      </w:r>
      <w:r>
        <w:rPr>
          <w:rFonts w:ascii="Arial" w:cs="Arial" w:eastAsia="Arial" w:hAnsi="Arial"/>
          <w:sz w:val="16"/>
          <w:szCs w:val="16"/>
          <w:color w:val="auto"/>
        </w:rPr>
        <w:t xml:space="preserve"> P</w:t>
      </w:r>
      <w:r>
        <w:rPr>
          <w:rFonts w:ascii="Arial" w:cs="Arial" w:eastAsia="Arial" w:hAnsi="Arial"/>
          <w:sz w:val="12"/>
          <w:szCs w:val="12"/>
          <w:color w:val="auto"/>
        </w:rPr>
        <w:t>AGE</w:t>
      </w:r>
    </w:p>
    <w:p>
      <w:pPr>
        <w:spacing w:after="0" w:line="17" w:lineRule="exact"/>
        <w:rPr>
          <w:sz w:val="20"/>
          <w:szCs w:val="20"/>
          <w:color w:val="auto"/>
        </w:rPr>
      </w:pPr>
    </w:p>
    <w:p>
      <w:pPr>
        <w:jc w:val="center"/>
        <w:ind w:right="1080"/>
        <w:spacing w:after="0"/>
        <w:rPr>
          <w:sz w:val="20"/>
          <w:szCs w:val="20"/>
          <w:color w:val="auto"/>
        </w:rPr>
      </w:pPr>
      <w:r>
        <w:rPr>
          <w:rFonts w:ascii="Arial" w:cs="Arial" w:eastAsia="Arial" w:hAnsi="Arial"/>
          <w:sz w:val="15"/>
          <w:szCs w:val="15"/>
          <w:color w:val="auto"/>
        </w:rPr>
        <w:t>F</w:t>
      </w:r>
      <w:r>
        <w:rPr>
          <w:rFonts w:ascii="Arial" w:cs="Arial" w:eastAsia="Arial" w:hAnsi="Arial"/>
          <w:sz w:val="11"/>
          <w:szCs w:val="11"/>
          <w:color w:val="auto"/>
        </w:rPr>
        <w:t>IRST</w:t>
      </w:r>
      <w:r>
        <w:rPr>
          <w:rFonts w:ascii="Arial" w:cs="Arial" w:eastAsia="Arial" w:hAnsi="Arial"/>
          <w:sz w:val="15"/>
          <w:szCs w:val="15"/>
          <w:color w:val="auto"/>
        </w:rPr>
        <w:t xml:space="preserve"> A</w:t>
      </w:r>
      <w:r>
        <w:rPr>
          <w:rFonts w:ascii="Arial" w:cs="Arial" w:eastAsia="Arial" w:hAnsi="Arial"/>
          <w:sz w:val="11"/>
          <w:szCs w:val="11"/>
          <w:color w:val="auto"/>
        </w:rPr>
        <w:t>MENDMENT –</w:t>
      </w:r>
      <w:r>
        <w:rPr>
          <w:rFonts w:ascii="Arial" w:cs="Arial" w:eastAsia="Arial" w:hAnsi="Arial"/>
          <w:sz w:val="15"/>
          <w:szCs w:val="15"/>
          <w:color w:val="auto"/>
        </w:rPr>
        <w:t xml:space="preserve"> C</w:t>
      </w:r>
      <w:r>
        <w:rPr>
          <w:rFonts w:ascii="Arial" w:cs="Arial" w:eastAsia="Arial" w:hAnsi="Arial"/>
          <w:sz w:val="11"/>
          <w:szCs w:val="11"/>
          <w:color w:val="auto"/>
        </w:rPr>
        <w:t>ALIFORNIA</w:t>
      </w:r>
      <w:r>
        <w:rPr>
          <w:rFonts w:ascii="Arial" w:cs="Arial" w:eastAsia="Arial" w:hAnsi="Arial"/>
          <w:sz w:val="15"/>
          <w:szCs w:val="15"/>
          <w:color w:val="auto"/>
        </w:rPr>
        <w:t xml:space="preserve"> R</w:t>
      </w:r>
      <w:r>
        <w:rPr>
          <w:rFonts w:ascii="Arial" w:cs="Arial" w:eastAsia="Arial" w:hAnsi="Arial"/>
          <w:sz w:val="11"/>
          <w:szCs w:val="11"/>
          <w:color w:val="auto"/>
        </w:rPr>
        <w:t>ESOURCES</w:t>
      </w:r>
      <w:r>
        <w:rPr>
          <w:rFonts w:ascii="Arial" w:cs="Arial" w:eastAsia="Arial" w:hAnsi="Arial"/>
          <w:sz w:val="15"/>
          <w:szCs w:val="15"/>
          <w:color w:val="auto"/>
        </w:rPr>
        <w:t xml:space="preserve"> C</w:t>
      </w:r>
      <w:r>
        <w:rPr>
          <w:rFonts w:ascii="Arial" w:cs="Arial" w:eastAsia="Arial" w:hAnsi="Arial"/>
          <w:sz w:val="11"/>
          <w:szCs w:val="11"/>
          <w:color w:val="auto"/>
        </w:rPr>
        <w:t>ORPORATION</w:t>
      </w:r>
    </w:p>
    <w:p>
      <w:pPr>
        <w:sectPr>
          <w:pgSz w:w="11900" w:h="16838" w:orient="portrait"/>
          <w:cols w:equalWidth="0" w:num="1">
            <w:col w:w="10100"/>
          </w:cols>
          <w:pgMar w:left="1440" w:top="1440" w:right="359" w:bottom="1440" w:gutter="0" w:footer="0" w:header="0"/>
        </w:sectPr>
      </w:pPr>
    </w:p>
    <w:bookmarkStart w:id="22" w:name="page23"/>
    <w:bookmarkEnd w:id="22"/>
    <w:p>
      <w:pPr>
        <w:spacing w:after="0" w:line="10"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JEFFERIES FINANCE LLC,</w:t>
      </w:r>
    </w:p>
    <w:p>
      <w:pPr>
        <w:spacing w:after="0" w:line="19"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367" w:lineRule="exact"/>
        <w:rPr>
          <w:sz w:val="20"/>
          <w:szCs w:val="20"/>
          <w:color w:val="auto"/>
        </w:rPr>
      </w:pPr>
    </w:p>
    <w:tbl>
      <w:tblPr>
        <w:tblLayout w:type="fixed"/>
        <w:tblInd w:w="4080" w:type="dxa"/>
        <w:tblCellMar>
          <w:top w:w="0" w:type="dxa"/>
          <w:left w:w="0" w:type="dxa"/>
          <w:bottom w:w="0" w:type="dxa"/>
          <w:right w:w="0" w:type="dxa"/>
        </w:tblCellMar>
      </w:tblPr>
      <w:tr>
        <w:trPr>
          <w:trHeight w:val="248"/>
        </w:trPr>
        <w:tc>
          <w:tcPr>
            <w:tcW w:w="940" w:type="dxa"/>
            <w:vAlign w:val="bottom"/>
          </w:tcPr>
          <w:p>
            <w:pPr>
              <w:spacing w:after="0"/>
              <w:rPr>
                <w:sz w:val="20"/>
                <w:szCs w:val="20"/>
                <w:color w:val="auto"/>
              </w:rPr>
            </w:pPr>
            <w:r>
              <w:rPr>
                <w:rFonts w:ascii="Arial" w:cs="Arial" w:eastAsia="Arial" w:hAnsi="Arial"/>
                <w:sz w:val="20"/>
                <w:szCs w:val="20"/>
                <w:color w:val="auto"/>
              </w:rPr>
              <w:t>By:</w:t>
            </w:r>
          </w:p>
        </w:tc>
        <w:tc>
          <w:tcPr>
            <w:tcW w:w="5100" w:type="dxa"/>
            <w:vAlign w:val="bottom"/>
          </w:tcPr>
          <w:p>
            <w:pPr>
              <w:ind w:left="20"/>
              <w:spacing w:after="0"/>
              <w:rPr>
                <w:sz w:val="20"/>
                <w:szCs w:val="20"/>
                <w:color w:val="auto"/>
              </w:rPr>
            </w:pPr>
            <w:r>
              <w:rPr>
                <w:rFonts w:ascii="Arial" w:cs="Arial" w:eastAsia="Arial" w:hAnsi="Arial"/>
                <w:sz w:val="20"/>
                <w:szCs w:val="20"/>
                <w:color w:val="auto"/>
              </w:rPr>
              <w:t>/s/ J.R. Young</w:t>
            </w:r>
          </w:p>
        </w:tc>
        <w:tc>
          <w:tcPr>
            <w:tcW w:w="0" w:type="dxa"/>
            <w:vAlign w:val="bottom"/>
          </w:tcPr>
          <w:p>
            <w:pPr>
              <w:spacing w:after="0"/>
              <w:rPr>
                <w:sz w:val="1"/>
                <w:szCs w:val="1"/>
                <w:color w:val="auto"/>
              </w:rPr>
            </w:pPr>
          </w:p>
        </w:tc>
      </w:tr>
      <w:tr>
        <w:trPr>
          <w:trHeight w:val="22"/>
        </w:trPr>
        <w:tc>
          <w:tcPr>
            <w:tcW w:w="94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5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1"/>
        </w:trPr>
        <w:tc>
          <w:tcPr>
            <w:tcW w:w="940" w:type="dxa"/>
            <w:vAlign w:val="bottom"/>
            <w:vMerge w:val="continue"/>
          </w:tcPr>
          <w:p>
            <w:pPr>
              <w:spacing w:after="0"/>
              <w:rPr>
                <w:sz w:val="21"/>
                <w:szCs w:val="21"/>
                <w:color w:val="auto"/>
              </w:rPr>
            </w:pPr>
          </w:p>
        </w:tc>
        <w:tc>
          <w:tcPr>
            <w:tcW w:w="5100" w:type="dxa"/>
            <w:vAlign w:val="bottom"/>
          </w:tcPr>
          <w:p>
            <w:pPr>
              <w:ind w:left="20"/>
              <w:spacing w:after="0"/>
              <w:rPr>
                <w:sz w:val="20"/>
                <w:szCs w:val="20"/>
                <w:color w:val="auto"/>
              </w:rPr>
            </w:pPr>
            <w:r>
              <w:rPr>
                <w:rFonts w:ascii="Arial" w:cs="Arial" w:eastAsia="Arial" w:hAnsi="Arial"/>
                <w:sz w:val="20"/>
                <w:szCs w:val="20"/>
                <w:color w:val="auto"/>
              </w:rPr>
              <w:t>J.R. Young</w:t>
            </w:r>
          </w:p>
        </w:tc>
        <w:tc>
          <w:tcPr>
            <w:tcW w:w="0" w:type="dxa"/>
            <w:vAlign w:val="bottom"/>
          </w:tcPr>
          <w:p>
            <w:pPr>
              <w:spacing w:after="0"/>
              <w:rPr>
                <w:sz w:val="1"/>
                <w:szCs w:val="1"/>
                <w:color w:val="auto"/>
              </w:rPr>
            </w:pPr>
          </w:p>
        </w:tc>
      </w:tr>
      <w:tr>
        <w:trPr>
          <w:trHeight w:val="280"/>
        </w:trPr>
        <w:tc>
          <w:tcPr>
            <w:tcW w:w="940" w:type="dxa"/>
            <w:vAlign w:val="bottom"/>
          </w:tcPr>
          <w:p>
            <w:pPr>
              <w:spacing w:after="0"/>
              <w:rPr>
                <w:sz w:val="20"/>
                <w:szCs w:val="20"/>
                <w:color w:val="auto"/>
              </w:rPr>
            </w:pPr>
            <w:r>
              <w:rPr>
                <w:rFonts w:ascii="Arial" w:cs="Arial" w:eastAsia="Arial" w:hAnsi="Arial"/>
                <w:sz w:val="20"/>
                <w:szCs w:val="20"/>
                <w:color w:val="auto"/>
              </w:rPr>
              <w:t>Title:</w:t>
            </w:r>
          </w:p>
        </w:tc>
        <w:tc>
          <w:tcPr>
            <w:tcW w:w="5100" w:type="dxa"/>
            <w:vAlign w:val="bottom"/>
          </w:tcPr>
          <w:p>
            <w:pPr>
              <w:ind w:left="20"/>
              <w:spacing w:after="0"/>
              <w:rPr>
                <w:sz w:val="20"/>
                <w:szCs w:val="20"/>
                <w:color w:val="auto"/>
              </w:rPr>
            </w:pPr>
            <w:r>
              <w:rPr>
                <w:rFonts w:ascii="Arial" w:cs="Arial" w:eastAsia="Arial" w:hAnsi="Arial"/>
                <w:sz w:val="20"/>
                <w:szCs w:val="20"/>
                <w:color w:val="auto"/>
              </w:rPr>
              <w:t>Managing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S</w:t>
      </w:r>
      <w:r>
        <w:rPr>
          <w:rFonts w:ascii="Arial" w:cs="Arial" w:eastAsia="Arial" w:hAnsi="Arial"/>
          <w:sz w:val="12"/>
          <w:szCs w:val="12"/>
          <w:color w:val="auto"/>
        </w:rPr>
        <w:t>IGNATURE</w:t>
      </w:r>
      <w:r>
        <w:rPr>
          <w:rFonts w:ascii="Arial" w:cs="Arial" w:eastAsia="Arial" w:hAnsi="Arial"/>
          <w:sz w:val="16"/>
          <w:szCs w:val="16"/>
          <w:color w:val="auto"/>
        </w:rPr>
        <w:t xml:space="preserve"> P</w:t>
      </w:r>
      <w:r>
        <w:rPr>
          <w:rFonts w:ascii="Arial" w:cs="Arial" w:eastAsia="Arial" w:hAnsi="Arial"/>
          <w:sz w:val="12"/>
          <w:szCs w:val="12"/>
          <w:color w:val="auto"/>
        </w:rPr>
        <w:t>AGE</w:t>
      </w:r>
    </w:p>
    <w:p>
      <w:pPr>
        <w:spacing w:after="0" w:line="17" w:lineRule="exact"/>
        <w:rPr>
          <w:sz w:val="20"/>
          <w:szCs w:val="20"/>
          <w:color w:val="auto"/>
        </w:rPr>
      </w:pPr>
    </w:p>
    <w:p>
      <w:pPr>
        <w:jc w:val="center"/>
        <w:ind w:right="1100"/>
        <w:spacing w:after="0"/>
        <w:rPr>
          <w:sz w:val="20"/>
          <w:szCs w:val="20"/>
          <w:color w:val="auto"/>
        </w:rPr>
      </w:pPr>
      <w:r>
        <w:rPr>
          <w:rFonts w:ascii="Arial" w:cs="Arial" w:eastAsia="Arial" w:hAnsi="Arial"/>
          <w:sz w:val="15"/>
          <w:szCs w:val="15"/>
          <w:color w:val="auto"/>
        </w:rPr>
        <w:t>F</w:t>
      </w:r>
      <w:r>
        <w:rPr>
          <w:rFonts w:ascii="Arial" w:cs="Arial" w:eastAsia="Arial" w:hAnsi="Arial"/>
          <w:sz w:val="11"/>
          <w:szCs w:val="11"/>
          <w:color w:val="auto"/>
        </w:rPr>
        <w:t>IRST</w:t>
      </w:r>
      <w:r>
        <w:rPr>
          <w:rFonts w:ascii="Arial" w:cs="Arial" w:eastAsia="Arial" w:hAnsi="Arial"/>
          <w:sz w:val="15"/>
          <w:szCs w:val="15"/>
          <w:color w:val="auto"/>
        </w:rPr>
        <w:t xml:space="preserve"> A</w:t>
      </w:r>
      <w:r>
        <w:rPr>
          <w:rFonts w:ascii="Arial" w:cs="Arial" w:eastAsia="Arial" w:hAnsi="Arial"/>
          <w:sz w:val="11"/>
          <w:szCs w:val="11"/>
          <w:color w:val="auto"/>
        </w:rPr>
        <w:t>MENDMENT –</w:t>
      </w:r>
      <w:r>
        <w:rPr>
          <w:rFonts w:ascii="Arial" w:cs="Arial" w:eastAsia="Arial" w:hAnsi="Arial"/>
          <w:sz w:val="15"/>
          <w:szCs w:val="15"/>
          <w:color w:val="auto"/>
        </w:rPr>
        <w:t xml:space="preserve"> C</w:t>
      </w:r>
      <w:r>
        <w:rPr>
          <w:rFonts w:ascii="Arial" w:cs="Arial" w:eastAsia="Arial" w:hAnsi="Arial"/>
          <w:sz w:val="11"/>
          <w:szCs w:val="11"/>
          <w:color w:val="auto"/>
        </w:rPr>
        <w:t>ALIFORNIA</w:t>
      </w:r>
      <w:r>
        <w:rPr>
          <w:rFonts w:ascii="Arial" w:cs="Arial" w:eastAsia="Arial" w:hAnsi="Arial"/>
          <w:sz w:val="15"/>
          <w:szCs w:val="15"/>
          <w:color w:val="auto"/>
        </w:rPr>
        <w:t xml:space="preserve"> R</w:t>
      </w:r>
      <w:r>
        <w:rPr>
          <w:rFonts w:ascii="Arial" w:cs="Arial" w:eastAsia="Arial" w:hAnsi="Arial"/>
          <w:sz w:val="11"/>
          <w:szCs w:val="11"/>
          <w:color w:val="auto"/>
        </w:rPr>
        <w:t>ESOURCES</w:t>
      </w:r>
      <w:r>
        <w:rPr>
          <w:rFonts w:ascii="Arial" w:cs="Arial" w:eastAsia="Arial" w:hAnsi="Arial"/>
          <w:sz w:val="15"/>
          <w:szCs w:val="15"/>
          <w:color w:val="auto"/>
        </w:rPr>
        <w:t xml:space="preserve"> C</w:t>
      </w:r>
      <w:r>
        <w:rPr>
          <w:rFonts w:ascii="Arial" w:cs="Arial" w:eastAsia="Arial" w:hAnsi="Arial"/>
          <w:sz w:val="11"/>
          <w:szCs w:val="11"/>
          <w:color w:val="auto"/>
        </w:rPr>
        <w:t>ORPORATION</w:t>
      </w:r>
    </w:p>
    <w:p>
      <w:pPr>
        <w:sectPr>
          <w:pgSz w:w="11900" w:h="16838" w:orient="portrait"/>
          <w:cols w:equalWidth="0" w:num="1">
            <w:col w:w="10120"/>
          </w:cols>
          <w:pgMar w:left="1440" w:top="1440" w:right="339" w:bottom="1440" w:gutter="0" w:footer="0" w:header="0"/>
        </w:sectPr>
      </w:pPr>
    </w:p>
    <w:bookmarkStart w:id="23" w:name="page24"/>
    <w:bookmarkEnd w:id="23"/>
    <w:p>
      <w:pPr>
        <w:spacing w:after="0" w:line="10"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MORGAN STANLEY SENIOR FUNDING INC.,</w:t>
      </w:r>
    </w:p>
    <w:p>
      <w:pPr>
        <w:spacing w:after="0" w:line="19"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367" w:lineRule="exact"/>
        <w:rPr>
          <w:sz w:val="20"/>
          <w:szCs w:val="20"/>
          <w:color w:val="auto"/>
        </w:rPr>
      </w:pPr>
    </w:p>
    <w:tbl>
      <w:tblPr>
        <w:tblLayout w:type="fixed"/>
        <w:tblInd w:w="4080" w:type="dxa"/>
        <w:tblCellMar>
          <w:top w:w="0" w:type="dxa"/>
          <w:left w:w="0" w:type="dxa"/>
          <w:bottom w:w="0" w:type="dxa"/>
          <w:right w:w="0" w:type="dxa"/>
        </w:tblCellMar>
      </w:tblPr>
      <w:tr>
        <w:trPr>
          <w:trHeight w:val="248"/>
        </w:trPr>
        <w:tc>
          <w:tcPr>
            <w:tcW w:w="940" w:type="dxa"/>
            <w:vAlign w:val="bottom"/>
          </w:tcPr>
          <w:p>
            <w:pPr>
              <w:spacing w:after="0"/>
              <w:rPr>
                <w:sz w:val="20"/>
                <w:szCs w:val="20"/>
                <w:color w:val="auto"/>
              </w:rPr>
            </w:pPr>
            <w:r>
              <w:rPr>
                <w:rFonts w:ascii="Arial" w:cs="Arial" w:eastAsia="Arial" w:hAnsi="Arial"/>
                <w:sz w:val="20"/>
                <w:szCs w:val="20"/>
                <w:color w:val="auto"/>
              </w:rPr>
              <w:t>By:</w:t>
            </w:r>
          </w:p>
        </w:tc>
        <w:tc>
          <w:tcPr>
            <w:tcW w:w="5100" w:type="dxa"/>
            <w:vAlign w:val="bottom"/>
          </w:tcPr>
          <w:p>
            <w:pPr>
              <w:ind w:left="20"/>
              <w:spacing w:after="0"/>
              <w:rPr>
                <w:sz w:val="20"/>
                <w:szCs w:val="20"/>
                <w:color w:val="auto"/>
              </w:rPr>
            </w:pPr>
            <w:r>
              <w:rPr>
                <w:rFonts w:ascii="Arial" w:cs="Arial" w:eastAsia="Arial" w:hAnsi="Arial"/>
                <w:sz w:val="20"/>
                <w:szCs w:val="20"/>
                <w:color w:val="auto"/>
              </w:rPr>
              <w:t>/s/ Marisa Moss</w:t>
            </w:r>
          </w:p>
        </w:tc>
        <w:tc>
          <w:tcPr>
            <w:tcW w:w="0" w:type="dxa"/>
            <w:vAlign w:val="bottom"/>
          </w:tcPr>
          <w:p>
            <w:pPr>
              <w:spacing w:after="0"/>
              <w:rPr>
                <w:sz w:val="1"/>
                <w:szCs w:val="1"/>
                <w:color w:val="auto"/>
              </w:rPr>
            </w:pPr>
          </w:p>
        </w:tc>
      </w:tr>
      <w:tr>
        <w:trPr>
          <w:trHeight w:val="22"/>
        </w:trPr>
        <w:tc>
          <w:tcPr>
            <w:tcW w:w="94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5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1"/>
        </w:trPr>
        <w:tc>
          <w:tcPr>
            <w:tcW w:w="940" w:type="dxa"/>
            <w:vAlign w:val="bottom"/>
            <w:vMerge w:val="continue"/>
          </w:tcPr>
          <w:p>
            <w:pPr>
              <w:spacing w:after="0"/>
              <w:rPr>
                <w:sz w:val="21"/>
                <w:szCs w:val="21"/>
                <w:color w:val="auto"/>
              </w:rPr>
            </w:pPr>
          </w:p>
        </w:tc>
        <w:tc>
          <w:tcPr>
            <w:tcW w:w="5100" w:type="dxa"/>
            <w:vAlign w:val="bottom"/>
          </w:tcPr>
          <w:p>
            <w:pPr>
              <w:ind w:left="20"/>
              <w:spacing w:after="0"/>
              <w:rPr>
                <w:sz w:val="20"/>
                <w:szCs w:val="20"/>
                <w:color w:val="auto"/>
              </w:rPr>
            </w:pPr>
            <w:r>
              <w:rPr>
                <w:rFonts w:ascii="Arial" w:cs="Arial" w:eastAsia="Arial" w:hAnsi="Arial"/>
                <w:sz w:val="20"/>
                <w:szCs w:val="20"/>
                <w:color w:val="auto"/>
              </w:rPr>
              <w:t>Marisa Moss</w:t>
            </w:r>
          </w:p>
        </w:tc>
        <w:tc>
          <w:tcPr>
            <w:tcW w:w="0" w:type="dxa"/>
            <w:vAlign w:val="bottom"/>
          </w:tcPr>
          <w:p>
            <w:pPr>
              <w:spacing w:after="0"/>
              <w:rPr>
                <w:sz w:val="1"/>
                <w:szCs w:val="1"/>
                <w:color w:val="auto"/>
              </w:rPr>
            </w:pPr>
          </w:p>
        </w:tc>
      </w:tr>
      <w:tr>
        <w:trPr>
          <w:trHeight w:val="280"/>
        </w:trPr>
        <w:tc>
          <w:tcPr>
            <w:tcW w:w="940" w:type="dxa"/>
            <w:vAlign w:val="bottom"/>
          </w:tcPr>
          <w:p>
            <w:pPr>
              <w:spacing w:after="0"/>
              <w:rPr>
                <w:sz w:val="20"/>
                <w:szCs w:val="20"/>
                <w:color w:val="auto"/>
              </w:rPr>
            </w:pPr>
            <w:r>
              <w:rPr>
                <w:rFonts w:ascii="Arial" w:cs="Arial" w:eastAsia="Arial" w:hAnsi="Arial"/>
                <w:sz w:val="20"/>
                <w:szCs w:val="20"/>
                <w:color w:val="auto"/>
              </w:rPr>
              <w:t>Title:</w:t>
            </w:r>
          </w:p>
        </w:tc>
        <w:tc>
          <w:tcPr>
            <w:tcW w:w="5100" w:type="dxa"/>
            <w:vAlign w:val="bottom"/>
          </w:tcPr>
          <w:p>
            <w:pPr>
              <w:ind w:left="20"/>
              <w:spacing w:after="0"/>
              <w:rPr>
                <w:sz w:val="20"/>
                <w:szCs w:val="20"/>
                <w:color w:val="auto"/>
              </w:rPr>
            </w:pPr>
            <w:r>
              <w:rPr>
                <w:rFonts w:ascii="Arial" w:cs="Arial" w:eastAsia="Arial" w:hAnsi="Arial"/>
                <w:sz w:val="20"/>
                <w:szCs w:val="20"/>
                <w:color w:val="auto"/>
              </w:rPr>
              <w:t>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S</w:t>
      </w:r>
      <w:r>
        <w:rPr>
          <w:rFonts w:ascii="Arial" w:cs="Arial" w:eastAsia="Arial" w:hAnsi="Arial"/>
          <w:sz w:val="12"/>
          <w:szCs w:val="12"/>
          <w:color w:val="auto"/>
        </w:rPr>
        <w:t>IGNATURE</w:t>
      </w:r>
      <w:r>
        <w:rPr>
          <w:rFonts w:ascii="Arial" w:cs="Arial" w:eastAsia="Arial" w:hAnsi="Arial"/>
          <w:sz w:val="16"/>
          <w:szCs w:val="16"/>
          <w:color w:val="auto"/>
        </w:rPr>
        <w:t xml:space="preserve"> P</w:t>
      </w:r>
      <w:r>
        <w:rPr>
          <w:rFonts w:ascii="Arial" w:cs="Arial" w:eastAsia="Arial" w:hAnsi="Arial"/>
          <w:sz w:val="12"/>
          <w:szCs w:val="12"/>
          <w:color w:val="auto"/>
        </w:rPr>
        <w:t>AGE</w:t>
      </w:r>
    </w:p>
    <w:p>
      <w:pPr>
        <w:spacing w:after="0" w:line="17" w:lineRule="exact"/>
        <w:rPr>
          <w:sz w:val="20"/>
          <w:szCs w:val="20"/>
          <w:color w:val="auto"/>
        </w:rPr>
      </w:pPr>
    </w:p>
    <w:p>
      <w:pPr>
        <w:jc w:val="center"/>
        <w:ind w:right="1100"/>
        <w:spacing w:after="0"/>
        <w:rPr>
          <w:sz w:val="20"/>
          <w:szCs w:val="20"/>
          <w:color w:val="auto"/>
        </w:rPr>
      </w:pPr>
      <w:r>
        <w:rPr>
          <w:rFonts w:ascii="Arial" w:cs="Arial" w:eastAsia="Arial" w:hAnsi="Arial"/>
          <w:sz w:val="15"/>
          <w:szCs w:val="15"/>
          <w:color w:val="auto"/>
        </w:rPr>
        <w:t>F</w:t>
      </w:r>
      <w:r>
        <w:rPr>
          <w:rFonts w:ascii="Arial" w:cs="Arial" w:eastAsia="Arial" w:hAnsi="Arial"/>
          <w:sz w:val="11"/>
          <w:szCs w:val="11"/>
          <w:color w:val="auto"/>
        </w:rPr>
        <w:t>IRST</w:t>
      </w:r>
      <w:r>
        <w:rPr>
          <w:rFonts w:ascii="Arial" w:cs="Arial" w:eastAsia="Arial" w:hAnsi="Arial"/>
          <w:sz w:val="15"/>
          <w:szCs w:val="15"/>
          <w:color w:val="auto"/>
        </w:rPr>
        <w:t xml:space="preserve"> A</w:t>
      </w:r>
      <w:r>
        <w:rPr>
          <w:rFonts w:ascii="Arial" w:cs="Arial" w:eastAsia="Arial" w:hAnsi="Arial"/>
          <w:sz w:val="11"/>
          <w:szCs w:val="11"/>
          <w:color w:val="auto"/>
        </w:rPr>
        <w:t>MENDMENT –</w:t>
      </w:r>
      <w:r>
        <w:rPr>
          <w:rFonts w:ascii="Arial" w:cs="Arial" w:eastAsia="Arial" w:hAnsi="Arial"/>
          <w:sz w:val="15"/>
          <w:szCs w:val="15"/>
          <w:color w:val="auto"/>
        </w:rPr>
        <w:t xml:space="preserve"> C</w:t>
      </w:r>
      <w:r>
        <w:rPr>
          <w:rFonts w:ascii="Arial" w:cs="Arial" w:eastAsia="Arial" w:hAnsi="Arial"/>
          <w:sz w:val="11"/>
          <w:szCs w:val="11"/>
          <w:color w:val="auto"/>
        </w:rPr>
        <w:t>ALIFORNIA</w:t>
      </w:r>
      <w:r>
        <w:rPr>
          <w:rFonts w:ascii="Arial" w:cs="Arial" w:eastAsia="Arial" w:hAnsi="Arial"/>
          <w:sz w:val="15"/>
          <w:szCs w:val="15"/>
          <w:color w:val="auto"/>
        </w:rPr>
        <w:t xml:space="preserve"> R</w:t>
      </w:r>
      <w:r>
        <w:rPr>
          <w:rFonts w:ascii="Arial" w:cs="Arial" w:eastAsia="Arial" w:hAnsi="Arial"/>
          <w:sz w:val="11"/>
          <w:szCs w:val="11"/>
          <w:color w:val="auto"/>
        </w:rPr>
        <w:t>ESOURCES</w:t>
      </w:r>
      <w:r>
        <w:rPr>
          <w:rFonts w:ascii="Arial" w:cs="Arial" w:eastAsia="Arial" w:hAnsi="Arial"/>
          <w:sz w:val="15"/>
          <w:szCs w:val="15"/>
          <w:color w:val="auto"/>
        </w:rPr>
        <w:t xml:space="preserve"> C</w:t>
      </w:r>
      <w:r>
        <w:rPr>
          <w:rFonts w:ascii="Arial" w:cs="Arial" w:eastAsia="Arial" w:hAnsi="Arial"/>
          <w:sz w:val="11"/>
          <w:szCs w:val="11"/>
          <w:color w:val="auto"/>
        </w:rPr>
        <w:t>ORPORATION</w:t>
      </w:r>
    </w:p>
    <w:p>
      <w:pPr>
        <w:sectPr>
          <w:pgSz w:w="11900" w:h="16838" w:orient="portrait"/>
          <w:cols w:equalWidth="0" w:num="1">
            <w:col w:w="10120"/>
          </w:cols>
          <w:pgMar w:left="1440" w:top="1440" w:right="339" w:bottom="1440" w:gutter="0" w:footer="0" w:header="0"/>
        </w:sectPr>
      </w:pPr>
    </w:p>
    <w:bookmarkStart w:id="24" w:name="page25"/>
    <w:bookmarkEnd w:id="24"/>
    <w:p>
      <w:pPr>
        <w:spacing w:after="0" w:line="10" w:lineRule="exact"/>
        <w:rPr>
          <w:sz w:val="20"/>
          <w:szCs w:val="20"/>
          <w:color w:val="auto"/>
        </w:rPr>
      </w:pPr>
    </w:p>
    <w:p>
      <w:pPr>
        <w:ind w:left="4100"/>
        <w:spacing w:after="0"/>
        <w:rPr>
          <w:sz w:val="20"/>
          <w:szCs w:val="20"/>
          <w:color w:val="auto"/>
        </w:rPr>
      </w:pPr>
      <w:r>
        <w:rPr>
          <w:rFonts w:ascii="Arial" w:cs="Arial" w:eastAsia="Arial" w:hAnsi="Arial"/>
          <w:sz w:val="20"/>
          <w:szCs w:val="20"/>
          <w:b w:val="1"/>
          <w:bCs w:val="1"/>
          <w:color w:val="auto"/>
        </w:rPr>
        <w:t>MACQUARIE INVESTMENTS US INC.,</w:t>
      </w:r>
    </w:p>
    <w:p>
      <w:pPr>
        <w:spacing w:after="0" w:line="19"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367" w:lineRule="exact"/>
        <w:rPr>
          <w:sz w:val="20"/>
          <w:szCs w:val="20"/>
          <w:color w:val="auto"/>
        </w:rPr>
      </w:pPr>
    </w:p>
    <w:tbl>
      <w:tblPr>
        <w:tblLayout w:type="fixed"/>
        <w:tblInd w:w="4100" w:type="dxa"/>
        <w:tblCellMar>
          <w:top w:w="0" w:type="dxa"/>
          <w:left w:w="0" w:type="dxa"/>
          <w:bottom w:w="0" w:type="dxa"/>
          <w:right w:w="0" w:type="dxa"/>
        </w:tblCellMar>
      </w:tblPr>
      <w:tr>
        <w:trPr>
          <w:trHeight w:val="248"/>
        </w:trPr>
        <w:tc>
          <w:tcPr>
            <w:tcW w:w="940" w:type="dxa"/>
            <w:vAlign w:val="bottom"/>
          </w:tcPr>
          <w:p>
            <w:pPr>
              <w:spacing w:after="0"/>
              <w:rPr>
                <w:sz w:val="20"/>
                <w:szCs w:val="20"/>
                <w:color w:val="auto"/>
              </w:rPr>
            </w:pPr>
            <w:r>
              <w:rPr>
                <w:rFonts w:ascii="Arial" w:cs="Arial" w:eastAsia="Arial" w:hAnsi="Arial"/>
                <w:sz w:val="20"/>
                <w:szCs w:val="20"/>
                <w:color w:val="auto"/>
              </w:rPr>
              <w:t>By:</w:t>
            </w:r>
          </w:p>
        </w:tc>
        <w:tc>
          <w:tcPr>
            <w:tcW w:w="5060" w:type="dxa"/>
            <w:vAlign w:val="bottom"/>
          </w:tcPr>
          <w:p>
            <w:pPr>
              <w:ind w:left="20"/>
              <w:spacing w:after="0"/>
              <w:rPr>
                <w:sz w:val="20"/>
                <w:szCs w:val="20"/>
                <w:color w:val="auto"/>
              </w:rPr>
            </w:pPr>
            <w:r>
              <w:rPr>
                <w:rFonts w:ascii="Arial" w:cs="Arial" w:eastAsia="Arial" w:hAnsi="Arial"/>
                <w:sz w:val="20"/>
                <w:szCs w:val="20"/>
                <w:color w:val="auto"/>
              </w:rPr>
              <w:t>/s/ Ozzie Pagan</w:t>
            </w:r>
          </w:p>
        </w:tc>
        <w:tc>
          <w:tcPr>
            <w:tcW w:w="0" w:type="dxa"/>
            <w:vAlign w:val="bottom"/>
          </w:tcPr>
          <w:p>
            <w:pPr>
              <w:spacing w:after="0"/>
              <w:rPr>
                <w:sz w:val="1"/>
                <w:szCs w:val="1"/>
                <w:color w:val="auto"/>
              </w:rPr>
            </w:pPr>
          </w:p>
        </w:tc>
      </w:tr>
      <w:tr>
        <w:trPr>
          <w:trHeight w:val="22"/>
        </w:trPr>
        <w:tc>
          <w:tcPr>
            <w:tcW w:w="94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5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1"/>
        </w:trPr>
        <w:tc>
          <w:tcPr>
            <w:tcW w:w="940" w:type="dxa"/>
            <w:vAlign w:val="bottom"/>
            <w:vMerge w:val="continue"/>
          </w:tcPr>
          <w:p>
            <w:pPr>
              <w:spacing w:after="0"/>
              <w:rPr>
                <w:sz w:val="21"/>
                <w:szCs w:val="21"/>
                <w:color w:val="auto"/>
              </w:rPr>
            </w:pPr>
          </w:p>
        </w:tc>
        <w:tc>
          <w:tcPr>
            <w:tcW w:w="5060" w:type="dxa"/>
            <w:vAlign w:val="bottom"/>
          </w:tcPr>
          <w:p>
            <w:pPr>
              <w:ind w:left="20"/>
              <w:spacing w:after="0"/>
              <w:rPr>
                <w:sz w:val="20"/>
                <w:szCs w:val="20"/>
                <w:color w:val="auto"/>
              </w:rPr>
            </w:pPr>
            <w:r>
              <w:rPr>
                <w:rFonts w:ascii="Arial" w:cs="Arial" w:eastAsia="Arial" w:hAnsi="Arial"/>
                <w:sz w:val="20"/>
                <w:szCs w:val="20"/>
                <w:color w:val="auto"/>
              </w:rPr>
              <w:t>Ozzie Pagan</w:t>
            </w:r>
          </w:p>
        </w:tc>
        <w:tc>
          <w:tcPr>
            <w:tcW w:w="0" w:type="dxa"/>
            <w:vAlign w:val="bottom"/>
          </w:tcPr>
          <w:p>
            <w:pPr>
              <w:spacing w:after="0"/>
              <w:rPr>
                <w:sz w:val="1"/>
                <w:szCs w:val="1"/>
                <w:color w:val="auto"/>
              </w:rPr>
            </w:pPr>
          </w:p>
        </w:tc>
      </w:tr>
      <w:tr>
        <w:trPr>
          <w:trHeight w:val="280"/>
        </w:trPr>
        <w:tc>
          <w:tcPr>
            <w:tcW w:w="940" w:type="dxa"/>
            <w:vAlign w:val="bottom"/>
          </w:tcPr>
          <w:p>
            <w:pPr>
              <w:spacing w:after="0"/>
              <w:rPr>
                <w:sz w:val="20"/>
                <w:szCs w:val="20"/>
                <w:color w:val="auto"/>
              </w:rPr>
            </w:pPr>
            <w:r>
              <w:rPr>
                <w:rFonts w:ascii="Arial" w:cs="Arial" w:eastAsia="Arial" w:hAnsi="Arial"/>
                <w:sz w:val="20"/>
                <w:szCs w:val="20"/>
                <w:color w:val="auto"/>
              </w:rPr>
              <w:t>Title:</w:t>
            </w:r>
          </w:p>
        </w:tc>
        <w:tc>
          <w:tcPr>
            <w:tcW w:w="5060" w:type="dxa"/>
            <w:vAlign w:val="bottom"/>
          </w:tcPr>
          <w:p>
            <w:pPr>
              <w:ind w:left="20"/>
              <w:spacing w:after="0"/>
              <w:rPr>
                <w:sz w:val="20"/>
                <w:szCs w:val="20"/>
                <w:color w:val="auto"/>
              </w:rPr>
            </w:pPr>
            <w:r>
              <w:rPr>
                <w:rFonts w:ascii="Arial" w:cs="Arial" w:eastAsia="Arial" w:hAnsi="Arial"/>
                <w:sz w:val="20"/>
                <w:szCs w:val="20"/>
                <w:color w:val="auto"/>
              </w:rPr>
              <w:t>Executive Managing Director</w:t>
            </w:r>
          </w:p>
        </w:tc>
        <w:tc>
          <w:tcPr>
            <w:tcW w:w="0" w:type="dxa"/>
            <w:vAlign w:val="bottom"/>
          </w:tcPr>
          <w:p>
            <w:pPr>
              <w:spacing w:after="0"/>
              <w:rPr>
                <w:sz w:val="1"/>
                <w:szCs w:val="1"/>
                <w:color w:val="auto"/>
              </w:rPr>
            </w:pPr>
          </w:p>
        </w:tc>
      </w:tr>
      <w:tr>
        <w:trPr>
          <w:trHeight w:val="813"/>
        </w:trPr>
        <w:tc>
          <w:tcPr>
            <w:tcW w:w="940" w:type="dxa"/>
            <w:vAlign w:val="bottom"/>
          </w:tcPr>
          <w:p>
            <w:pPr>
              <w:spacing w:after="0"/>
              <w:rPr>
                <w:sz w:val="20"/>
                <w:szCs w:val="20"/>
                <w:color w:val="auto"/>
              </w:rPr>
            </w:pPr>
            <w:r>
              <w:rPr>
                <w:rFonts w:ascii="Arial" w:cs="Arial" w:eastAsia="Arial" w:hAnsi="Arial"/>
                <w:sz w:val="20"/>
                <w:szCs w:val="20"/>
                <w:color w:val="auto"/>
              </w:rPr>
              <w:t>By:</w:t>
            </w:r>
          </w:p>
        </w:tc>
        <w:tc>
          <w:tcPr>
            <w:tcW w:w="5060" w:type="dxa"/>
            <w:vAlign w:val="bottom"/>
          </w:tcPr>
          <w:p>
            <w:pPr>
              <w:ind w:left="20"/>
              <w:spacing w:after="0"/>
              <w:rPr>
                <w:sz w:val="20"/>
                <w:szCs w:val="20"/>
                <w:color w:val="auto"/>
              </w:rPr>
            </w:pPr>
            <w:r>
              <w:rPr>
                <w:rFonts w:ascii="Arial" w:cs="Arial" w:eastAsia="Arial" w:hAnsi="Arial"/>
                <w:sz w:val="20"/>
                <w:szCs w:val="20"/>
                <w:color w:val="auto"/>
              </w:rPr>
              <w:t>/s/ Travis McCullough</w:t>
            </w:r>
          </w:p>
        </w:tc>
        <w:tc>
          <w:tcPr>
            <w:tcW w:w="0" w:type="dxa"/>
            <w:vAlign w:val="bottom"/>
          </w:tcPr>
          <w:p>
            <w:pPr>
              <w:spacing w:after="0"/>
              <w:rPr>
                <w:sz w:val="1"/>
                <w:szCs w:val="1"/>
                <w:color w:val="auto"/>
              </w:rPr>
            </w:pPr>
          </w:p>
        </w:tc>
      </w:tr>
      <w:tr>
        <w:trPr>
          <w:trHeight w:val="22"/>
        </w:trPr>
        <w:tc>
          <w:tcPr>
            <w:tcW w:w="94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5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1"/>
        </w:trPr>
        <w:tc>
          <w:tcPr>
            <w:tcW w:w="940" w:type="dxa"/>
            <w:vAlign w:val="bottom"/>
            <w:vMerge w:val="continue"/>
          </w:tcPr>
          <w:p>
            <w:pPr>
              <w:spacing w:after="0"/>
              <w:rPr>
                <w:sz w:val="21"/>
                <w:szCs w:val="21"/>
                <w:color w:val="auto"/>
              </w:rPr>
            </w:pPr>
          </w:p>
        </w:tc>
        <w:tc>
          <w:tcPr>
            <w:tcW w:w="5060" w:type="dxa"/>
            <w:vAlign w:val="bottom"/>
          </w:tcPr>
          <w:p>
            <w:pPr>
              <w:ind w:left="20"/>
              <w:spacing w:after="0"/>
              <w:rPr>
                <w:sz w:val="20"/>
                <w:szCs w:val="20"/>
                <w:color w:val="auto"/>
              </w:rPr>
            </w:pPr>
            <w:r>
              <w:rPr>
                <w:rFonts w:ascii="Arial" w:cs="Arial" w:eastAsia="Arial" w:hAnsi="Arial"/>
                <w:sz w:val="20"/>
                <w:szCs w:val="20"/>
                <w:color w:val="auto"/>
              </w:rPr>
              <w:t>Travis McCullough</w:t>
            </w:r>
          </w:p>
        </w:tc>
        <w:tc>
          <w:tcPr>
            <w:tcW w:w="0" w:type="dxa"/>
            <w:vAlign w:val="bottom"/>
          </w:tcPr>
          <w:p>
            <w:pPr>
              <w:spacing w:after="0"/>
              <w:rPr>
                <w:sz w:val="1"/>
                <w:szCs w:val="1"/>
                <w:color w:val="auto"/>
              </w:rPr>
            </w:pPr>
          </w:p>
        </w:tc>
      </w:tr>
      <w:tr>
        <w:trPr>
          <w:trHeight w:val="280"/>
        </w:trPr>
        <w:tc>
          <w:tcPr>
            <w:tcW w:w="940" w:type="dxa"/>
            <w:vAlign w:val="bottom"/>
          </w:tcPr>
          <w:p>
            <w:pPr>
              <w:spacing w:after="0"/>
              <w:rPr>
                <w:sz w:val="20"/>
                <w:szCs w:val="20"/>
                <w:color w:val="auto"/>
              </w:rPr>
            </w:pPr>
            <w:r>
              <w:rPr>
                <w:rFonts w:ascii="Arial" w:cs="Arial" w:eastAsia="Arial" w:hAnsi="Arial"/>
                <w:sz w:val="20"/>
                <w:szCs w:val="20"/>
                <w:color w:val="auto"/>
              </w:rPr>
              <w:t>Title:</w:t>
            </w:r>
          </w:p>
        </w:tc>
        <w:tc>
          <w:tcPr>
            <w:tcW w:w="5060" w:type="dxa"/>
            <w:vAlign w:val="bottom"/>
          </w:tcPr>
          <w:p>
            <w:pPr>
              <w:ind w:left="20"/>
              <w:spacing w:after="0"/>
              <w:rPr>
                <w:sz w:val="20"/>
                <w:szCs w:val="20"/>
                <w:color w:val="auto"/>
              </w:rPr>
            </w:pPr>
            <w:r>
              <w:rPr>
                <w:rFonts w:ascii="Arial" w:cs="Arial" w:eastAsia="Arial" w:hAnsi="Arial"/>
                <w:sz w:val="20"/>
                <w:szCs w:val="20"/>
                <w:color w:val="auto"/>
              </w:rPr>
              <w:t>Division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80"/>
        <w:spacing w:after="0"/>
        <w:rPr>
          <w:sz w:val="20"/>
          <w:szCs w:val="20"/>
          <w:color w:val="auto"/>
        </w:rPr>
      </w:pPr>
      <w:r>
        <w:rPr>
          <w:rFonts w:ascii="Arial" w:cs="Arial" w:eastAsia="Arial" w:hAnsi="Arial"/>
          <w:sz w:val="16"/>
          <w:szCs w:val="16"/>
          <w:color w:val="auto"/>
        </w:rPr>
        <w:t>S</w:t>
      </w:r>
      <w:r>
        <w:rPr>
          <w:rFonts w:ascii="Arial" w:cs="Arial" w:eastAsia="Arial" w:hAnsi="Arial"/>
          <w:sz w:val="12"/>
          <w:szCs w:val="12"/>
          <w:color w:val="auto"/>
        </w:rPr>
        <w:t>IGNATURE</w:t>
      </w:r>
      <w:r>
        <w:rPr>
          <w:rFonts w:ascii="Arial" w:cs="Arial" w:eastAsia="Arial" w:hAnsi="Arial"/>
          <w:sz w:val="16"/>
          <w:szCs w:val="16"/>
          <w:color w:val="auto"/>
        </w:rPr>
        <w:t xml:space="preserve"> P</w:t>
      </w:r>
      <w:r>
        <w:rPr>
          <w:rFonts w:ascii="Arial" w:cs="Arial" w:eastAsia="Arial" w:hAnsi="Arial"/>
          <w:sz w:val="12"/>
          <w:szCs w:val="12"/>
          <w:color w:val="auto"/>
        </w:rPr>
        <w:t>AGE</w:t>
      </w:r>
    </w:p>
    <w:p>
      <w:pPr>
        <w:spacing w:after="0" w:line="17" w:lineRule="exact"/>
        <w:rPr>
          <w:sz w:val="20"/>
          <w:szCs w:val="20"/>
          <w:color w:val="auto"/>
        </w:rPr>
      </w:pPr>
    </w:p>
    <w:p>
      <w:pPr>
        <w:jc w:val="center"/>
        <w:ind w:right="1080"/>
        <w:spacing w:after="0"/>
        <w:rPr>
          <w:sz w:val="20"/>
          <w:szCs w:val="20"/>
          <w:color w:val="auto"/>
        </w:rPr>
      </w:pPr>
      <w:r>
        <w:rPr>
          <w:rFonts w:ascii="Arial" w:cs="Arial" w:eastAsia="Arial" w:hAnsi="Arial"/>
          <w:sz w:val="15"/>
          <w:szCs w:val="15"/>
          <w:color w:val="auto"/>
        </w:rPr>
        <w:t>F</w:t>
      </w:r>
      <w:r>
        <w:rPr>
          <w:rFonts w:ascii="Arial" w:cs="Arial" w:eastAsia="Arial" w:hAnsi="Arial"/>
          <w:sz w:val="11"/>
          <w:szCs w:val="11"/>
          <w:color w:val="auto"/>
        </w:rPr>
        <w:t>IRST</w:t>
      </w:r>
      <w:r>
        <w:rPr>
          <w:rFonts w:ascii="Arial" w:cs="Arial" w:eastAsia="Arial" w:hAnsi="Arial"/>
          <w:sz w:val="15"/>
          <w:szCs w:val="15"/>
          <w:color w:val="auto"/>
        </w:rPr>
        <w:t xml:space="preserve"> A</w:t>
      </w:r>
      <w:r>
        <w:rPr>
          <w:rFonts w:ascii="Arial" w:cs="Arial" w:eastAsia="Arial" w:hAnsi="Arial"/>
          <w:sz w:val="11"/>
          <w:szCs w:val="11"/>
          <w:color w:val="auto"/>
        </w:rPr>
        <w:t>MENDMENT –</w:t>
      </w:r>
      <w:r>
        <w:rPr>
          <w:rFonts w:ascii="Arial" w:cs="Arial" w:eastAsia="Arial" w:hAnsi="Arial"/>
          <w:sz w:val="15"/>
          <w:szCs w:val="15"/>
          <w:color w:val="auto"/>
        </w:rPr>
        <w:t xml:space="preserve"> C</w:t>
      </w:r>
      <w:r>
        <w:rPr>
          <w:rFonts w:ascii="Arial" w:cs="Arial" w:eastAsia="Arial" w:hAnsi="Arial"/>
          <w:sz w:val="11"/>
          <w:szCs w:val="11"/>
          <w:color w:val="auto"/>
        </w:rPr>
        <w:t>ALIFORNIA</w:t>
      </w:r>
      <w:r>
        <w:rPr>
          <w:rFonts w:ascii="Arial" w:cs="Arial" w:eastAsia="Arial" w:hAnsi="Arial"/>
          <w:sz w:val="15"/>
          <w:szCs w:val="15"/>
          <w:color w:val="auto"/>
        </w:rPr>
        <w:t xml:space="preserve"> R</w:t>
      </w:r>
      <w:r>
        <w:rPr>
          <w:rFonts w:ascii="Arial" w:cs="Arial" w:eastAsia="Arial" w:hAnsi="Arial"/>
          <w:sz w:val="11"/>
          <w:szCs w:val="11"/>
          <w:color w:val="auto"/>
        </w:rPr>
        <w:t>ESOURCES</w:t>
      </w:r>
      <w:r>
        <w:rPr>
          <w:rFonts w:ascii="Arial" w:cs="Arial" w:eastAsia="Arial" w:hAnsi="Arial"/>
          <w:sz w:val="15"/>
          <w:szCs w:val="15"/>
          <w:color w:val="auto"/>
        </w:rPr>
        <w:t xml:space="preserve"> C</w:t>
      </w:r>
      <w:r>
        <w:rPr>
          <w:rFonts w:ascii="Arial" w:cs="Arial" w:eastAsia="Arial" w:hAnsi="Arial"/>
          <w:sz w:val="11"/>
          <w:szCs w:val="11"/>
          <w:color w:val="auto"/>
        </w:rPr>
        <w:t>ORPORATION</w:t>
      </w:r>
    </w:p>
    <w:p>
      <w:pPr>
        <w:sectPr>
          <w:pgSz w:w="11900" w:h="16838" w:orient="portrait"/>
          <w:cols w:equalWidth="0" w:num="1">
            <w:col w:w="10100"/>
          </w:cols>
          <w:pgMar w:left="1440" w:top="1440" w:right="359" w:bottom="1440" w:gutter="0" w:footer="0" w:header="0"/>
        </w:sectPr>
      </w:pPr>
    </w:p>
    <w:bookmarkStart w:id="25" w:name="page26"/>
    <w:bookmarkEnd w:id="25"/>
    <w:p>
      <w:pPr>
        <w:spacing w:after="0" w:line="10" w:lineRule="exact"/>
        <w:rPr>
          <w:sz w:val="20"/>
          <w:szCs w:val="20"/>
          <w:color w:val="auto"/>
        </w:rPr>
      </w:pPr>
    </w:p>
    <w:p>
      <w:pPr>
        <w:ind w:left="4100"/>
        <w:spacing w:after="0"/>
        <w:rPr>
          <w:sz w:val="20"/>
          <w:szCs w:val="20"/>
          <w:color w:val="auto"/>
        </w:rPr>
      </w:pPr>
      <w:r>
        <w:rPr>
          <w:rFonts w:ascii="Arial" w:cs="Arial" w:eastAsia="Arial" w:hAnsi="Arial"/>
          <w:sz w:val="20"/>
          <w:szCs w:val="20"/>
          <w:b w:val="1"/>
          <w:bCs w:val="1"/>
          <w:color w:val="auto"/>
        </w:rPr>
        <w:t>BP ENERGY COMPANY,</w:t>
      </w:r>
    </w:p>
    <w:p>
      <w:pPr>
        <w:spacing w:after="0" w:line="19"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367" w:lineRule="exact"/>
        <w:rPr>
          <w:sz w:val="20"/>
          <w:szCs w:val="20"/>
          <w:color w:val="auto"/>
        </w:rPr>
      </w:pPr>
    </w:p>
    <w:tbl>
      <w:tblPr>
        <w:tblLayout w:type="fixed"/>
        <w:tblInd w:w="4100" w:type="dxa"/>
        <w:tblCellMar>
          <w:top w:w="0" w:type="dxa"/>
          <w:left w:w="0" w:type="dxa"/>
          <w:bottom w:w="0" w:type="dxa"/>
          <w:right w:w="0" w:type="dxa"/>
        </w:tblCellMar>
      </w:tblPr>
      <w:tr>
        <w:trPr>
          <w:trHeight w:val="248"/>
        </w:trPr>
        <w:tc>
          <w:tcPr>
            <w:tcW w:w="940" w:type="dxa"/>
            <w:vAlign w:val="bottom"/>
          </w:tcPr>
          <w:p>
            <w:pPr>
              <w:spacing w:after="0"/>
              <w:rPr>
                <w:sz w:val="20"/>
                <w:szCs w:val="20"/>
                <w:color w:val="auto"/>
              </w:rPr>
            </w:pPr>
            <w:r>
              <w:rPr>
                <w:rFonts w:ascii="Arial" w:cs="Arial" w:eastAsia="Arial" w:hAnsi="Arial"/>
                <w:sz w:val="20"/>
                <w:szCs w:val="20"/>
                <w:color w:val="auto"/>
              </w:rPr>
              <w:t>By:</w:t>
            </w:r>
          </w:p>
        </w:tc>
        <w:tc>
          <w:tcPr>
            <w:tcW w:w="5060" w:type="dxa"/>
            <w:vAlign w:val="bottom"/>
          </w:tcPr>
          <w:p>
            <w:pPr>
              <w:ind w:left="20"/>
              <w:spacing w:after="0"/>
              <w:rPr>
                <w:sz w:val="20"/>
                <w:szCs w:val="20"/>
                <w:color w:val="auto"/>
              </w:rPr>
            </w:pPr>
            <w:r>
              <w:rPr>
                <w:rFonts w:ascii="Arial" w:cs="Arial" w:eastAsia="Arial" w:hAnsi="Arial"/>
                <w:sz w:val="20"/>
                <w:szCs w:val="20"/>
                <w:color w:val="auto"/>
              </w:rPr>
              <w:t>/s/ Will Shappley</w:t>
            </w:r>
          </w:p>
        </w:tc>
        <w:tc>
          <w:tcPr>
            <w:tcW w:w="0" w:type="dxa"/>
            <w:vAlign w:val="bottom"/>
          </w:tcPr>
          <w:p>
            <w:pPr>
              <w:spacing w:after="0"/>
              <w:rPr>
                <w:sz w:val="1"/>
                <w:szCs w:val="1"/>
                <w:color w:val="auto"/>
              </w:rPr>
            </w:pPr>
          </w:p>
        </w:tc>
      </w:tr>
      <w:tr>
        <w:trPr>
          <w:trHeight w:val="22"/>
        </w:trPr>
        <w:tc>
          <w:tcPr>
            <w:tcW w:w="94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5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1"/>
        </w:trPr>
        <w:tc>
          <w:tcPr>
            <w:tcW w:w="940" w:type="dxa"/>
            <w:vAlign w:val="bottom"/>
            <w:vMerge w:val="continue"/>
          </w:tcPr>
          <w:p>
            <w:pPr>
              <w:spacing w:after="0"/>
              <w:rPr>
                <w:sz w:val="21"/>
                <w:szCs w:val="21"/>
                <w:color w:val="auto"/>
              </w:rPr>
            </w:pPr>
          </w:p>
        </w:tc>
        <w:tc>
          <w:tcPr>
            <w:tcW w:w="5060" w:type="dxa"/>
            <w:vAlign w:val="bottom"/>
          </w:tcPr>
          <w:p>
            <w:pPr>
              <w:ind w:left="20"/>
              <w:spacing w:after="0"/>
              <w:rPr>
                <w:sz w:val="20"/>
                <w:szCs w:val="20"/>
                <w:color w:val="auto"/>
              </w:rPr>
            </w:pPr>
            <w:r>
              <w:rPr>
                <w:rFonts w:ascii="Arial" w:cs="Arial" w:eastAsia="Arial" w:hAnsi="Arial"/>
                <w:sz w:val="20"/>
                <w:szCs w:val="20"/>
                <w:color w:val="auto"/>
              </w:rPr>
              <w:t>Will Shappley</w:t>
            </w:r>
          </w:p>
        </w:tc>
        <w:tc>
          <w:tcPr>
            <w:tcW w:w="0" w:type="dxa"/>
            <w:vAlign w:val="bottom"/>
          </w:tcPr>
          <w:p>
            <w:pPr>
              <w:spacing w:after="0"/>
              <w:rPr>
                <w:sz w:val="1"/>
                <w:szCs w:val="1"/>
                <w:color w:val="auto"/>
              </w:rPr>
            </w:pPr>
          </w:p>
        </w:tc>
      </w:tr>
      <w:tr>
        <w:trPr>
          <w:trHeight w:val="280"/>
        </w:trPr>
        <w:tc>
          <w:tcPr>
            <w:tcW w:w="940" w:type="dxa"/>
            <w:vAlign w:val="bottom"/>
          </w:tcPr>
          <w:p>
            <w:pPr>
              <w:spacing w:after="0"/>
              <w:rPr>
                <w:sz w:val="20"/>
                <w:szCs w:val="20"/>
                <w:color w:val="auto"/>
              </w:rPr>
            </w:pPr>
            <w:r>
              <w:rPr>
                <w:rFonts w:ascii="Arial" w:cs="Arial" w:eastAsia="Arial" w:hAnsi="Arial"/>
                <w:sz w:val="20"/>
                <w:szCs w:val="20"/>
                <w:color w:val="auto"/>
              </w:rPr>
              <w:t>Title:</w:t>
            </w:r>
          </w:p>
        </w:tc>
        <w:tc>
          <w:tcPr>
            <w:tcW w:w="5060" w:type="dxa"/>
            <w:vAlign w:val="bottom"/>
          </w:tcPr>
          <w:p>
            <w:pPr>
              <w:ind w:left="20"/>
              <w:spacing w:after="0"/>
              <w:rPr>
                <w:sz w:val="20"/>
                <w:szCs w:val="20"/>
                <w:color w:val="auto"/>
              </w:rPr>
            </w:pPr>
            <w:r>
              <w:rPr>
                <w:rFonts w:ascii="Arial" w:cs="Arial" w:eastAsia="Arial" w:hAnsi="Arial"/>
                <w:sz w:val="20"/>
                <w:szCs w:val="20"/>
                <w:color w:val="auto"/>
              </w:rPr>
              <w:t>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80"/>
        <w:spacing w:after="0"/>
        <w:rPr>
          <w:sz w:val="20"/>
          <w:szCs w:val="20"/>
          <w:color w:val="auto"/>
        </w:rPr>
      </w:pPr>
      <w:r>
        <w:rPr>
          <w:rFonts w:ascii="Arial" w:cs="Arial" w:eastAsia="Arial" w:hAnsi="Arial"/>
          <w:sz w:val="16"/>
          <w:szCs w:val="16"/>
          <w:color w:val="auto"/>
        </w:rPr>
        <w:t>S</w:t>
      </w:r>
      <w:r>
        <w:rPr>
          <w:rFonts w:ascii="Arial" w:cs="Arial" w:eastAsia="Arial" w:hAnsi="Arial"/>
          <w:sz w:val="12"/>
          <w:szCs w:val="12"/>
          <w:color w:val="auto"/>
        </w:rPr>
        <w:t>IGNATURE</w:t>
      </w:r>
      <w:r>
        <w:rPr>
          <w:rFonts w:ascii="Arial" w:cs="Arial" w:eastAsia="Arial" w:hAnsi="Arial"/>
          <w:sz w:val="16"/>
          <w:szCs w:val="16"/>
          <w:color w:val="auto"/>
        </w:rPr>
        <w:t xml:space="preserve"> P</w:t>
      </w:r>
      <w:r>
        <w:rPr>
          <w:rFonts w:ascii="Arial" w:cs="Arial" w:eastAsia="Arial" w:hAnsi="Arial"/>
          <w:sz w:val="12"/>
          <w:szCs w:val="12"/>
          <w:color w:val="auto"/>
        </w:rPr>
        <w:t>AGE</w:t>
      </w:r>
    </w:p>
    <w:p>
      <w:pPr>
        <w:spacing w:after="0" w:line="17" w:lineRule="exact"/>
        <w:rPr>
          <w:sz w:val="20"/>
          <w:szCs w:val="20"/>
          <w:color w:val="auto"/>
        </w:rPr>
      </w:pPr>
    </w:p>
    <w:p>
      <w:pPr>
        <w:jc w:val="center"/>
        <w:ind w:right="1080"/>
        <w:spacing w:after="0"/>
        <w:rPr>
          <w:sz w:val="20"/>
          <w:szCs w:val="20"/>
          <w:color w:val="auto"/>
        </w:rPr>
      </w:pPr>
      <w:r>
        <w:rPr>
          <w:rFonts w:ascii="Arial" w:cs="Arial" w:eastAsia="Arial" w:hAnsi="Arial"/>
          <w:sz w:val="15"/>
          <w:szCs w:val="15"/>
          <w:color w:val="auto"/>
        </w:rPr>
        <w:t>F</w:t>
      </w:r>
      <w:r>
        <w:rPr>
          <w:rFonts w:ascii="Arial" w:cs="Arial" w:eastAsia="Arial" w:hAnsi="Arial"/>
          <w:sz w:val="11"/>
          <w:szCs w:val="11"/>
          <w:color w:val="auto"/>
        </w:rPr>
        <w:t>IRST</w:t>
      </w:r>
      <w:r>
        <w:rPr>
          <w:rFonts w:ascii="Arial" w:cs="Arial" w:eastAsia="Arial" w:hAnsi="Arial"/>
          <w:sz w:val="15"/>
          <w:szCs w:val="15"/>
          <w:color w:val="auto"/>
        </w:rPr>
        <w:t xml:space="preserve"> A</w:t>
      </w:r>
      <w:r>
        <w:rPr>
          <w:rFonts w:ascii="Arial" w:cs="Arial" w:eastAsia="Arial" w:hAnsi="Arial"/>
          <w:sz w:val="11"/>
          <w:szCs w:val="11"/>
          <w:color w:val="auto"/>
        </w:rPr>
        <w:t>MENDMENT –</w:t>
      </w:r>
      <w:r>
        <w:rPr>
          <w:rFonts w:ascii="Arial" w:cs="Arial" w:eastAsia="Arial" w:hAnsi="Arial"/>
          <w:sz w:val="15"/>
          <w:szCs w:val="15"/>
          <w:color w:val="auto"/>
        </w:rPr>
        <w:t xml:space="preserve"> C</w:t>
      </w:r>
      <w:r>
        <w:rPr>
          <w:rFonts w:ascii="Arial" w:cs="Arial" w:eastAsia="Arial" w:hAnsi="Arial"/>
          <w:sz w:val="11"/>
          <w:szCs w:val="11"/>
          <w:color w:val="auto"/>
        </w:rPr>
        <w:t>ALIFORNIA</w:t>
      </w:r>
      <w:r>
        <w:rPr>
          <w:rFonts w:ascii="Arial" w:cs="Arial" w:eastAsia="Arial" w:hAnsi="Arial"/>
          <w:sz w:val="15"/>
          <w:szCs w:val="15"/>
          <w:color w:val="auto"/>
        </w:rPr>
        <w:t xml:space="preserve"> R</w:t>
      </w:r>
      <w:r>
        <w:rPr>
          <w:rFonts w:ascii="Arial" w:cs="Arial" w:eastAsia="Arial" w:hAnsi="Arial"/>
          <w:sz w:val="11"/>
          <w:szCs w:val="11"/>
          <w:color w:val="auto"/>
        </w:rPr>
        <w:t>ESOURCES</w:t>
      </w:r>
      <w:r>
        <w:rPr>
          <w:rFonts w:ascii="Arial" w:cs="Arial" w:eastAsia="Arial" w:hAnsi="Arial"/>
          <w:sz w:val="15"/>
          <w:szCs w:val="15"/>
          <w:color w:val="auto"/>
        </w:rPr>
        <w:t xml:space="preserve"> C</w:t>
      </w:r>
      <w:r>
        <w:rPr>
          <w:rFonts w:ascii="Arial" w:cs="Arial" w:eastAsia="Arial" w:hAnsi="Arial"/>
          <w:sz w:val="11"/>
          <w:szCs w:val="11"/>
          <w:color w:val="auto"/>
        </w:rPr>
        <w:t>ORPORATION</w:t>
      </w:r>
    </w:p>
    <w:p>
      <w:pPr>
        <w:sectPr>
          <w:pgSz w:w="11900" w:h="16838" w:orient="portrait"/>
          <w:cols w:equalWidth="0" w:num="1">
            <w:col w:w="10100"/>
          </w:cols>
          <w:pgMar w:left="1440" w:top="1440" w:right="359" w:bottom="1440" w:gutter="0" w:footer="0" w:header="0"/>
        </w:sectPr>
      </w:pPr>
    </w:p>
    <w:bookmarkStart w:id="26" w:name="page27"/>
    <w:bookmarkEnd w:id="26"/>
    <w:p>
      <w:pPr>
        <w:jc w:val="center"/>
        <w:ind w:right="20"/>
        <w:spacing w:after="0"/>
        <w:rPr>
          <w:sz w:val="20"/>
          <w:szCs w:val="20"/>
          <w:color w:val="auto"/>
        </w:rPr>
      </w:pPr>
      <w:r>
        <w:rPr>
          <w:rFonts w:ascii="Arial" w:cs="Arial" w:eastAsia="Arial" w:hAnsi="Arial"/>
          <w:sz w:val="21"/>
          <w:szCs w:val="21"/>
          <w:b w:val="1"/>
          <w:bCs w:val="1"/>
          <w:u w:val="single" w:color="auto"/>
          <w:color w:val="auto"/>
        </w:rPr>
        <w:t>ANNEX 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u w:val="single" w:color="auto"/>
          <w:color w:val="auto"/>
        </w:rPr>
        <w:t>Schedule 1.1(a)</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Commitments</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940" w:type="dxa"/>
            <w:vAlign w:val="bottom"/>
            <w:tcBorders>
              <w:top w:val="single" w:sz="8" w:color="auto"/>
              <w:left w:val="single" w:sz="8" w:color="auto"/>
              <w:right w:val="single" w:sz="8" w:color="auto"/>
            </w:tcBorders>
            <w:shd w:val="clear" w:color="auto" w:fill="00647D"/>
          </w:tcPr>
          <w:p>
            <w:pPr>
              <w:ind w:left="40"/>
              <w:spacing w:after="0"/>
              <w:rPr>
                <w:sz w:val="20"/>
                <w:szCs w:val="20"/>
                <w:color w:val="auto"/>
              </w:rPr>
            </w:pPr>
            <w:r>
              <w:rPr>
                <w:rFonts w:ascii="Arial" w:cs="Arial" w:eastAsia="Arial" w:hAnsi="Arial"/>
                <w:sz w:val="20"/>
                <w:szCs w:val="20"/>
                <w:b w:val="1"/>
                <w:bCs w:val="1"/>
                <w:color w:val="FFFFFF"/>
              </w:rPr>
              <w:t>Lender</w:t>
            </w:r>
          </w:p>
        </w:tc>
        <w:tc>
          <w:tcPr>
            <w:tcW w:w="2000" w:type="dxa"/>
            <w:vAlign w:val="bottom"/>
            <w:tcBorders>
              <w:top w:val="single" w:sz="8" w:color="auto"/>
              <w:right w:val="single" w:sz="8" w:color="auto"/>
            </w:tcBorders>
            <w:shd w:val="clear" w:color="auto" w:fill="00647D"/>
          </w:tcPr>
          <w:p>
            <w:pPr>
              <w:spacing w:after="0"/>
              <w:rPr>
                <w:sz w:val="20"/>
                <w:szCs w:val="20"/>
                <w:color w:val="auto"/>
              </w:rPr>
            </w:pPr>
            <w:r>
              <w:rPr>
                <w:rFonts w:ascii="Arial" w:cs="Arial" w:eastAsia="Arial" w:hAnsi="Arial"/>
                <w:sz w:val="20"/>
                <w:szCs w:val="20"/>
                <w:b w:val="1"/>
                <w:bCs w:val="1"/>
                <w:color w:val="FFFFFF"/>
              </w:rPr>
              <w:t>Commitment</w:t>
            </w:r>
          </w:p>
        </w:tc>
        <w:tc>
          <w:tcPr>
            <w:tcW w:w="2240" w:type="dxa"/>
            <w:vAlign w:val="bottom"/>
            <w:tcBorders>
              <w:top w:val="single" w:sz="8" w:color="auto"/>
              <w:right w:val="single" w:sz="8" w:color="auto"/>
            </w:tcBorders>
            <w:shd w:val="clear" w:color="auto" w:fill="00647D"/>
          </w:tcPr>
          <w:p>
            <w:pPr>
              <w:spacing w:after="0"/>
              <w:rPr>
                <w:sz w:val="20"/>
                <w:szCs w:val="20"/>
                <w:color w:val="auto"/>
              </w:rPr>
            </w:pPr>
            <w:r>
              <w:rPr>
                <w:rFonts w:ascii="Arial" w:cs="Arial" w:eastAsia="Arial" w:hAnsi="Arial"/>
                <w:sz w:val="20"/>
                <w:szCs w:val="20"/>
                <w:b w:val="1"/>
                <w:bCs w:val="1"/>
                <w:color w:val="FFFFFF"/>
              </w:rPr>
              <w:t>Maximum Credit</w:t>
            </w:r>
          </w:p>
        </w:tc>
        <w:tc>
          <w:tcPr>
            <w:tcW w:w="2080" w:type="dxa"/>
            <w:vAlign w:val="bottom"/>
            <w:tcBorders>
              <w:top w:val="single" w:sz="8" w:color="auto"/>
              <w:right w:val="single" w:sz="8" w:color="auto"/>
            </w:tcBorders>
            <w:shd w:val="clear" w:color="auto" w:fill="00647D"/>
          </w:tcPr>
          <w:p>
            <w:pPr>
              <w:ind w:left="20"/>
              <w:spacing w:after="0"/>
              <w:rPr>
                <w:sz w:val="20"/>
                <w:szCs w:val="20"/>
                <w:color w:val="auto"/>
              </w:rPr>
            </w:pPr>
            <w:r>
              <w:rPr>
                <w:rFonts w:ascii="Arial" w:cs="Arial" w:eastAsia="Arial" w:hAnsi="Arial"/>
                <w:sz w:val="20"/>
                <w:szCs w:val="20"/>
                <w:b w:val="1"/>
                <w:bCs w:val="1"/>
                <w:color w:val="FFFFFF"/>
              </w:rPr>
              <w:t>Elected Commitment</w:t>
            </w:r>
          </w:p>
        </w:tc>
      </w:tr>
      <w:tr>
        <w:trPr>
          <w:trHeight w:val="281"/>
        </w:trPr>
        <w:tc>
          <w:tcPr>
            <w:tcW w:w="4940" w:type="dxa"/>
            <w:vAlign w:val="bottom"/>
            <w:tcBorders>
              <w:left w:val="single" w:sz="8" w:color="auto"/>
              <w:bottom w:val="single" w:sz="8" w:color="00647D"/>
              <w:right w:val="single" w:sz="8" w:color="auto"/>
            </w:tcBorders>
            <w:shd w:val="clear" w:color="auto" w:fill="00647D"/>
          </w:tcPr>
          <w:p>
            <w:pPr>
              <w:spacing w:after="0"/>
              <w:rPr>
                <w:sz w:val="24"/>
                <w:szCs w:val="24"/>
                <w:color w:val="auto"/>
              </w:rPr>
            </w:pPr>
          </w:p>
        </w:tc>
        <w:tc>
          <w:tcPr>
            <w:tcW w:w="2000" w:type="dxa"/>
            <w:vAlign w:val="bottom"/>
            <w:tcBorders>
              <w:bottom w:val="single" w:sz="8" w:color="00647D"/>
              <w:right w:val="single" w:sz="8" w:color="auto"/>
            </w:tcBorders>
            <w:shd w:val="clear" w:color="auto" w:fill="00647D"/>
          </w:tcPr>
          <w:p>
            <w:pPr>
              <w:spacing w:after="0"/>
              <w:rPr>
                <w:sz w:val="20"/>
                <w:szCs w:val="20"/>
                <w:color w:val="auto"/>
              </w:rPr>
            </w:pPr>
            <w:r>
              <w:rPr>
                <w:rFonts w:ascii="Arial" w:cs="Arial" w:eastAsia="Arial" w:hAnsi="Arial"/>
                <w:sz w:val="20"/>
                <w:szCs w:val="20"/>
                <w:b w:val="1"/>
                <w:bCs w:val="1"/>
                <w:color w:val="FFFFFF"/>
              </w:rPr>
              <w:t>Percentage (%)</w:t>
            </w:r>
          </w:p>
        </w:tc>
        <w:tc>
          <w:tcPr>
            <w:tcW w:w="2240" w:type="dxa"/>
            <w:vAlign w:val="bottom"/>
            <w:tcBorders>
              <w:bottom w:val="single" w:sz="8" w:color="00647D"/>
              <w:right w:val="single" w:sz="8" w:color="auto"/>
            </w:tcBorders>
            <w:shd w:val="clear" w:color="auto" w:fill="00647D"/>
          </w:tcPr>
          <w:p>
            <w:pPr>
              <w:spacing w:after="0"/>
              <w:rPr>
                <w:sz w:val="20"/>
                <w:szCs w:val="20"/>
                <w:color w:val="auto"/>
              </w:rPr>
            </w:pPr>
            <w:r>
              <w:rPr>
                <w:rFonts w:ascii="Arial" w:cs="Arial" w:eastAsia="Arial" w:hAnsi="Arial"/>
                <w:sz w:val="20"/>
                <w:szCs w:val="20"/>
                <w:b w:val="1"/>
                <w:bCs w:val="1"/>
                <w:color w:val="FFFFFF"/>
              </w:rPr>
              <w:t>Amounts ($)</w:t>
            </w:r>
          </w:p>
        </w:tc>
        <w:tc>
          <w:tcPr>
            <w:tcW w:w="2080" w:type="dxa"/>
            <w:vAlign w:val="bottom"/>
            <w:tcBorders>
              <w:bottom w:val="single" w:sz="8" w:color="00647D"/>
              <w:right w:val="single" w:sz="8" w:color="auto"/>
            </w:tcBorders>
            <w:shd w:val="clear" w:color="auto" w:fill="00647D"/>
          </w:tcPr>
          <w:p>
            <w:pPr>
              <w:ind w:left="20"/>
              <w:spacing w:after="0"/>
              <w:rPr>
                <w:sz w:val="20"/>
                <w:szCs w:val="20"/>
                <w:color w:val="auto"/>
              </w:rPr>
            </w:pPr>
            <w:r>
              <w:rPr>
                <w:rFonts w:ascii="Arial" w:cs="Arial" w:eastAsia="Arial" w:hAnsi="Arial"/>
                <w:sz w:val="20"/>
                <w:szCs w:val="20"/>
                <w:b w:val="1"/>
                <w:bCs w:val="1"/>
                <w:color w:val="FFFFFF"/>
              </w:rPr>
              <w:t>($)</w:t>
            </w:r>
          </w:p>
        </w:tc>
      </w:tr>
      <w:tr>
        <w:trPr>
          <w:trHeight w:val="293"/>
        </w:trPr>
        <w:tc>
          <w:tcPr>
            <w:tcW w:w="49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Citibank, N.A.</w:t>
            </w:r>
          </w:p>
        </w:tc>
        <w:tc>
          <w:tcPr>
            <w:tcW w:w="20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color w:val="auto"/>
              </w:rPr>
              <w:t>17.26680384%</w:t>
            </w:r>
          </w:p>
        </w:tc>
        <w:tc>
          <w:tcPr>
            <w:tcW w:w="22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1"/>
                <w:szCs w:val="21"/>
                <w:color w:val="auto"/>
              </w:rPr>
              <w:t>$215,835,048.01</w:t>
            </w:r>
          </w:p>
        </w:tc>
        <w:tc>
          <w:tcPr>
            <w:tcW w:w="20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$85,000,000.00</w:t>
            </w:r>
          </w:p>
        </w:tc>
      </w:tr>
      <w:tr>
        <w:trPr>
          <w:trHeight w:val="300"/>
        </w:trPr>
        <w:tc>
          <w:tcPr>
            <w:tcW w:w="4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KeyBank, National Association</w:t>
            </w:r>
          </w:p>
        </w:tc>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17.26680384%</w:t>
            </w: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1"/>
                <w:szCs w:val="21"/>
                <w:color w:val="auto"/>
              </w:rPr>
              <w:t>$215,835,048.01</w:t>
            </w:r>
          </w:p>
        </w:tc>
        <w:tc>
          <w:tcPr>
            <w:tcW w:w="2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$85,000,000.00</w:t>
            </w:r>
          </w:p>
        </w:tc>
      </w:tr>
      <w:tr>
        <w:trPr>
          <w:trHeight w:val="300"/>
        </w:trPr>
        <w:tc>
          <w:tcPr>
            <w:tcW w:w="4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MUFG Union Bank, N.A.</w:t>
            </w:r>
          </w:p>
        </w:tc>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17.26680384%</w:t>
            </w: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1"/>
                <w:szCs w:val="21"/>
                <w:color w:val="auto"/>
              </w:rPr>
              <w:t>$215,835,048.01</w:t>
            </w:r>
          </w:p>
        </w:tc>
        <w:tc>
          <w:tcPr>
            <w:tcW w:w="2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$85,000,000.00</w:t>
            </w:r>
          </w:p>
        </w:tc>
      </w:tr>
      <w:tr>
        <w:trPr>
          <w:trHeight w:val="300"/>
        </w:trPr>
        <w:tc>
          <w:tcPr>
            <w:tcW w:w="4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Mizuho Bank, Ltd.</w:t>
            </w:r>
          </w:p>
        </w:tc>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17.26680384%</w:t>
            </w: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1"/>
                <w:szCs w:val="21"/>
                <w:color w:val="auto"/>
              </w:rPr>
              <w:t>$215,835,048.01</w:t>
            </w:r>
          </w:p>
        </w:tc>
        <w:tc>
          <w:tcPr>
            <w:tcW w:w="2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$85,000,000.00</w:t>
            </w:r>
          </w:p>
        </w:tc>
      </w:tr>
      <w:tr>
        <w:trPr>
          <w:trHeight w:val="300"/>
        </w:trPr>
        <w:tc>
          <w:tcPr>
            <w:tcW w:w="4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Royal Bank of Canada</w:t>
            </w:r>
          </w:p>
        </w:tc>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17.26680384%</w:t>
            </w: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1"/>
                <w:szCs w:val="21"/>
                <w:color w:val="auto"/>
              </w:rPr>
              <w:t>$215,835,048.01</w:t>
            </w:r>
          </w:p>
        </w:tc>
        <w:tc>
          <w:tcPr>
            <w:tcW w:w="2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$85,000,000.00</w:t>
            </w:r>
          </w:p>
        </w:tc>
      </w:tr>
      <w:tr>
        <w:trPr>
          <w:trHeight w:val="300"/>
        </w:trPr>
        <w:tc>
          <w:tcPr>
            <w:tcW w:w="4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JPMorgan Chase Bank, N.A.</w:t>
            </w:r>
          </w:p>
        </w:tc>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7.27023320%</w:t>
            </w: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1"/>
                <w:szCs w:val="21"/>
                <w:color w:val="auto"/>
              </w:rPr>
              <w:t>$90,877,914.95</w:t>
            </w:r>
          </w:p>
        </w:tc>
        <w:tc>
          <w:tcPr>
            <w:tcW w:w="2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$35,789,473.68</w:t>
            </w:r>
          </w:p>
        </w:tc>
      </w:tr>
      <w:tr>
        <w:trPr>
          <w:trHeight w:val="300"/>
        </w:trPr>
        <w:tc>
          <w:tcPr>
            <w:tcW w:w="4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Jefferies Finance LLC</w:t>
            </w:r>
          </w:p>
        </w:tc>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1.85185185%</w:t>
            </w: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1"/>
                <w:szCs w:val="21"/>
                <w:color w:val="auto"/>
              </w:rPr>
              <w:t>$23,148,148.15</w:t>
            </w:r>
          </w:p>
        </w:tc>
        <w:tc>
          <w:tcPr>
            <w:tcW w:w="2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$9,116,186.69</w:t>
            </w:r>
          </w:p>
        </w:tc>
      </w:tr>
      <w:tr>
        <w:trPr>
          <w:trHeight w:val="300"/>
        </w:trPr>
        <w:tc>
          <w:tcPr>
            <w:tcW w:w="4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Morgan Stanley Senior Funding, Inc.</w:t>
            </w:r>
          </w:p>
        </w:tc>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1.81755830%</w:t>
            </w: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1"/>
                <w:szCs w:val="21"/>
                <w:color w:val="auto"/>
              </w:rPr>
              <w:t>$22,719,478.74</w:t>
            </w:r>
          </w:p>
        </w:tc>
        <w:tc>
          <w:tcPr>
            <w:tcW w:w="2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$8,947,368.42</w:t>
            </w:r>
          </w:p>
        </w:tc>
      </w:tr>
      <w:tr>
        <w:trPr>
          <w:trHeight w:val="300"/>
        </w:trPr>
        <w:tc>
          <w:tcPr>
            <w:tcW w:w="4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Macquarie Investments US Inc.</w:t>
            </w:r>
          </w:p>
        </w:tc>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1.81755830%</w:t>
            </w: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1"/>
                <w:szCs w:val="21"/>
                <w:color w:val="auto"/>
              </w:rPr>
              <w:t>$22,719,478.74</w:t>
            </w:r>
          </w:p>
        </w:tc>
        <w:tc>
          <w:tcPr>
            <w:tcW w:w="2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$8,947,368.42</w:t>
            </w:r>
          </w:p>
        </w:tc>
      </w:tr>
      <w:tr>
        <w:trPr>
          <w:trHeight w:val="300"/>
        </w:trPr>
        <w:tc>
          <w:tcPr>
            <w:tcW w:w="4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BP Energy Company</w:t>
            </w:r>
          </w:p>
        </w:tc>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0.90877915%</w:t>
            </w: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1"/>
                <w:szCs w:val="21"/>
                <w:color w:val="auto"/>
              </w:rPr>
              <w:t>$11,359,739.37</w:t>
            </w:r>
          </w:p>
        </w:tc>
        <w:tc>
          <w:tcPr>
            <w:tcW w:w="2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$4,473,684.21</w:t>
            </w:r>
          </w:p>
        </w:tc>
      </w:tr>
      <w:tr>
        <w:trPr>
          <w:trHeight w:val="260"/>
        </w:trPr>
        <w:tc>
          <w:tcPr>
            <w:tcW w:w="4940" w:type="dxa"/>
            <w:vAlign w:val="bottom"/>
            <w:tcBorders>
              <w:left w:val="single" w:sz="8" w:color="auto"/>
              <w:bottom w:val="single" w:sz="8" w:color="DDEBF7"/>
              <w:right w:val="single" w:sz="8" w:color="auto"/>
            </w:tcBorders>
            <w:shd w:val="clear" w:color="auto" w:fill="DDEBF7"/>
          </w:tcPr>
          <w:p>
            <w:pPr>
              <w:ind w:left="40"/>
              <w:spacing w:after="0"/>
              <w:rPr>
                <w:sz w:val="20"/>
                <w:szCs w:val="20"/>
                <w:color w:val="auto"/>
              </w:rPr>
            </w:pPr>
            <w:r>
              <w:rPr>
                <w:rFonts w:ascii="Arial" w:cs="Arial" w:eastAsia="Arial" w:hAnsi="Arial"/>
                <w:sz w:val="20"/>
                <w:szCs w:val="20"/>
                <w:b w:val="1"/>
                <w:bCs w:val="1"/>
                <w:color w:val="auto"/>
              </w:rPr>
              <w:t>TOTAL</w:t>
            </w:r>
          </w:p>
        </w:tc>
        <w:tc>
          <w:tcPr>
            <w:tcW w:w="2000" w:type="dxa"/>
            <w:vAlign w:val="bottom"/>
            <w:tcBorders>
              <w:bottom w:val="single" w:sz="8" w:color="DDEBF7"/>
              <w:right w:val="single" w:sz="8" w:color="auto"/>
            </w:tcBorders>
            <w:shd w:val="clear" w:color="auto" w:fill="DDEBF7"/>
          </w:tcPr>
          <w:p>
            <w:pPr>
              <w:spacing w:after="0"/>
              <w:rPr>
                <w:sz w:val="20"/>
                <w:szCs w:val="20"/>
                <w:color w:val="auto"/>
              </w:rPr>
            </w:pPr>
            <w:r>
              <w:rPr>
                <w:rFonts w:ascii="Arial" w:cs="Arial" w:eastAsia="Arial" w:hAnsi="Arial"/>
                <w:sz w:val="20"/>
                <w:szCs w:val="20"/>
                <w:b w:val="1"/>
                <w:bCs w:val="1"/>
                <w:color w:val="auto"/>
              </w:rPr>
              <w:t>100.00%</w:t>
            </w:r>
          </w:p>
        </w:tc>
        <w:tc>
          <w:tcPr>
            <w:tcW w:w="2240" w:type="dxa"/>
            <w:vAlign w:val="bottom"/>
            <w:tcBorders>
              <w:bottom w:val="single" w:sz="8" w:color="DDEBF7"/>
              <w:right w:val="single" w:sz="8" w:color="auto"/>
            </w:tcBorders>
            <w:shd w:val="clear" w:color="auto" w:fill="DDEBF7"/>
          </w:tcPr>
          <w:p>
            <w:pPr>
              <w:spacing w:after="0"/>
              <w:rPr>
                <w:sz w:val="20"/>
                <w:szCs w:val="20"/>
                <w:color w:val="auto"/>
              </w:rPr>
            </w:pPr>
            <w:r>
              <w:rPr>
                <w:rFonts w:ascii="Arial" w:cs="Arial" w:eastAsia="Arial" w:hAnsi="Arial"/>
                <w:sz w:val="20"/>
                <w:szCs w:val="20"/>
                <w:b w:val="1"/>
                <w:bCs w:val="1"/>
                <w:color w:val="auto"/>
              </w:rPr>
              <w:t>$1,250,000,000.00</w:t>
            </w:r>
          </w:p>
        </w:tc>
        <w:tc>
          <w:tcPr>
            <w:tcW w:w="2080" w:type="dxa"/>
            <w:vAlign w:val="bottom"/>
            <w:tcBorders>
              <w:bottom w:val="single" w:sz="8" w:color="DDEBF7"/>
              <w:right w:val="single" w:sz="8" w:color="auto"/>
            </w:tcBorders>
            <w:shd w:val="clear" w:color="auto" w:fill="DDEBF7"/>
          </w:tcPr>
          <w:p>
            <w:pPr>
              <w:ind w:left="20"/>
              <w:spacing w:after="0"/>
              <w:rPr>
                <w:sz w:val="20"/>
                <w:szCs w:val="20"/>
                <w:color w:val="auto"/>
              </w:rPr>
            </w:pPr>
            <w:r>
              <w:rPr>
                <w:rFonts w:ascii="Arial" w:cs="Arial" w:eastAsia="Arial" w:hAnsi="Arial"/>
                <w:sz w:val="20"/>
                <w:szCs w:val="20"/>
                <w:b w:val="1"/>
                <w:bCs w:val="1"/>
                <w:color w:val="auto"/>
              </w:rPr>
              <w:t>$492,274,081.43</w:t>
            </w:r>
          </w:p>
        </w:tc>
      </w:tr>
      <w:tr>
        <w:trPr>
          <w:trHeight w:val="20"/>
        </w:trPr>
        <w:tc>
          <w:tcPr>
            <w:tcW w:w="49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0" w:type="dxa"/>
            <w:vAlign w:val="bottom"/>
            <w:tcBorders>
              <w:right w:val="single" w:sz="8" w:color="auto"/>
            </w:tcBorders>
            <w:shd w:val="clear" w:color="auto" w:fill="000000"/>
          </w:tcPr>
          <w:p>
            <w:pPr>
              <w:spacing w:after="0" w:line="20" w:lineRule="exact"/>
              <w:rPr>
                <w:sz w:val="1"/>
                <w:szCs w:val="1"/>
                <w:color w:val="auto"/>
              </w:rPr>
            </w:pPr>
          </w:p>
        </w:tc>
        <w:tc>
          <w:tcPr>
            <w:tcW w:w="2240" w:type="dxa"/>
            <w:vAlign w:val="bottom"/>
            <w:tcBorders>
              <w:right w:val="single" w:sz="8" w:color="auto"/>
            </w:tcBorders>
            <w:shd w:val="clear" w:color="auto" w:fill="000000"/>
          </w:tcPr>
          <w:p>
            <w:pPr>
              <w:spacing w:after="0" w:line="20" w:lineRule="exact"/>
              <w:rPr>
                <w:sz w:val="1"/>
                <w:szCs w:val="1"/>
                <w:color w:val="auto"/>
              </w:rPr>
            </w:pPr>
          </w:p>
        </w:tc>
        <w:tc>
          <w:tcPr>
            <w:tcW w:w="2080" w:type="dxa"/>
            <w:vAlign w:val="bottom"/>
            <w:tcBorders>
              <w:right w:val="single" w:sz="8" w:color="auto"/>
            </w:tcBorders>
            <w:shd w:val="clear" w:color="auto" w:fill="000000"/>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60"/>
      </w:cols>
      <w:pgMar w:left="320" w:top="140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Letter"/>
      <w:start w:val="2"/>
    </w:lvl>
  </w:abstractNum>
  <w:abstractNum w:abstractNumId="3">
    <w:nsid w:val="515F007C"/>
    <w:multiLevelType w:val="hybridMultilevel"/>
    <w:lvl w:ilvl="0">
      <w:lvlJc w:val="left"/>
      <w:lvlText w:val="(%1)"/>
      <w:numFmt w:val="lowerLetter"/>
      <w:start w:val="3"/>
    </w:lvl>
  </w:abstractNum>
  <w:abstractNum w:abstractNumId="4">
    <w:nsid w:val="5BD062C2"/>
    <w:multiLevelType w:val="hybridMultilevel"/>
    <w:lvl w:ilvl="0">
      <w:lvlJc w:val="left"/>
      <w:lvlText w:val="(%1)"/>
      <w:numFmt w:val="lowerLetter"/>
      <w:start w:val="4"/>
    </w:lvl>
  </w:abstractNum>
  <w:abstractNum w:abstractNumId="5">
    <w:nsid w:val="12200854"/>
    <w:multiLevelType w:val="hybridMultilevel"/>
    <w:lvl w:ilvl="0">
      <w:lvlJc w:val="left"/>
      <w:lvlText w:val="(%1)"/>
      <w:numFmt w:val="lowerLetter"/>
      <w:start w:val="9"/>
    </w:lvl>
  </w:abstractNum>
  <w:abstractNum w:abstractNumId="6">
    <w:nsid w:val="4DB127F8"/>
    <w:multiLevelType w:val="hybridMultilevel"/>
    <w:lvl w:ilvl="0">
      <w:lvlJc w:val="left"/>
      <w:lvlText w:val="(%1)"/>
      <w:numFmt w:val="lowerLetter"/>
      <w:start w:val="12"/>
    </w:lvl>
  </w:abstractNum>
  <w:abstractNum w:abstractNumId="7">
    <w:nsid w:val="216231B"/>
    <w:multiLevelType w:val="hybridMultilevel"/>
    <w:lvl w:ilvl="0">
      <w:lvlJc w:val="left"/>
      <w:lvlText w:val="(%1)"/>
      <w:numFmt w:val="lowerRoman"/>
      <w:start w:val="3"/>
    </w:lvl>
  </w:abstractNum>
  <w:abstractNum w:abstractNumId="8">
    <w:nsid w:val="1F16E9E8"/>
    <w:multiLevelType w:val="hybridMultilevel"/>
    <w:lvl w:ilvl="0">
      <w:lvlJc w:val="left"/>
      <w:lvlText w:val="%1"/>
      <w:numFmt w:val="lowerLetter"/>
      <w:start w:val="1"/>
    </w:lvl>
    <w:lvl w:ilvl="1">
      <w:lvlJc w:val="left"/>
      <w:lvlText w:val="(%2)"/>
      <w:numFmt w:val="lowerLetter"/>
      <w:start w:val="7"/>
    </w:lvl>
  </w:abstractNum>
  <w:abstractNum w:abstractNumId="9">
    <w:nsid w:val="1190CDE7"/>
    <w:multiLevelType w:val="hybridMultilevel"/>
    <w:lvl w:ilvl="0">
      <w:lvlJc w:val="left"/>
      <w:lvlText w:val="(%1)"/>
      <w:numFmt w:val="lowerLetter"/>
      <w:start w:val="9"/>
    </w:lvl>
    <w:lvl w:ilvl="1">
      <w:lvlJc w:val="left"/>
      <w:lvlText w:val="%2"/>
      <w:numFmt w:val="lowerLetter"/>
      <w:start w:val="1"/>
    </w:lvl>
  </w:abstractNum>
  <w:abstractNum w:abstractNumId="10">
    <w:nsid w:val="66EF438D"/>
    <w:multiLevelType w:val="hybridMultilevel"/>
    <w:lvl w:ilvl="0">
      <w:lvlJc w:val="left"/>
      <w:lvlText w:val="(%1)"/>
      <w:numFmt w:val="lowerLetter"/>
      <w:start w:val="2"/>
    </w:lvl>
  </w:abstractNum>
  <w:abstractNum w:abstractNumId="11">
    <w:nsid w:val="140E0F76"/>
    <w:multiLevelType w:val="hybridMultilevel"/>
    <w:lvl w:ilvl="0">
      <w:lvlJc w:val="left"/>
      <w:lvlText w:val="(%1)"/>
      <w:numFmt w:val="lowerLetter"/>
      <w:start w:val="3"/>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2021-05-11T05:18:04Z</dcterms:created>
  <dcterms:modified xsi:type="dcterms:W3CDTF">2021-05-11T05:18:04Z</dcterms:modified>
</cp:coreProperties>
</file>