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03/03/2022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7"/>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03/03/2022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18,800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42.7747</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8,362,573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03/04/2022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75,000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42.7988</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8,287,573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9"/>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12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8,287,573 shares of Common Stock by reason of the direct or indirect beneficial ownership of such shares as follows: (i) ACOF AIV 1A directly holds 438,498 shares of Common Stock, (ii) ACOF AIV 1B directly holds 1,604,671 shares of Common Stock, (iii) ACOF AIV 2 directly holds 1,634,693 shares of Common Stock, (iv) AEOF AIV A-B directly holds 1,894,861 shares of Common Stock, (v) AEOF AIV C directly holds 804,524 shares of Common Stock and (vi) AF Energy Feeder, L.P. directly holds 1,910,326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2022-03-07T18:53:54Z</dcterms:created>
  <dcterms:modified xsi:type="dcterms:W3CDTF">2022-03-07T18:53:54Z</dcterms:modified>
</cp:coreProperties>
</file>