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333-251108</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448310</wp:posOffset>
            </wp:positionV>
            <wp:extent cx="2456815" cy="63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6815" cy="631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72,414,790 Shares of Common Stock</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21"/>
          <w:szCs w:val="21"/>
          <w:color w:val="auto"/>
        </w:rPr>
        <w:t>___________________</w:t>
      </w:r>
    </w:p>
    <w:p>
      <w:pPr>
        <w:spacing w:after="0" w:line="250" w:lineRule="exact"/>
        <w:rPr>
          <w:sz w:val="24"/>
          <w:szCs w:val="24"/>
          <w:color w:val="auto"/>
        </w:rPr>
      </w:pPr>
    </w:p>
    <w:p>
      <w:pPr>
        <w:ind w:right="40" w:firstLine="318"/>
        <w:spacing w:after="0" w:line="244" w:lineRule="auto"/>
        <w:rPr>
          <w:sz w:val="20"/>
          <w:szCs w:val="20"/>
          <w:color w:val="auto"/>
        </w:rPr>
      </w:pPr>
      <w:r>
        <w:rPr>
          <w:rFonts w:ascii="Times New Roman" w:cs="Times New Roman" w:eastAsia="Times New Roman" w:hAnsi="Times New Roman"/>
          <w:sz w:val="18"/>
          <w:szCs w:val="18"/>
          <w:color w:val="auto"/>
        </w:rPr>
        <w:t>This prospectus supplement No. 2 supplements the prospectus dated December 23, 2020 (the “Prospectus”), as supplemented on January 13, 2021, filed pursuant to the Securities Act of 1933, as amended, by California Resources Corporation. Pursuant to the Prospectus, this prospectus supplement relates to the offering of up to 72,414,790 shares of common stock by the selling security holders named in the Prospectus.</w:t>
      </w:r>
    </w:p>
    <w:p>
      <w:pPr>
        <w:spacing w:after="0" w:line="20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prospectus supplement incorporates into the Prospectus the information contained in our attached:</w:t>
      </w:r>
    </w:p>
    <w:p>
      <w:pPr>
        <w:spacing w:after="0" w:line="247" w:lineRule="exact"/>
        <w:rPr>
          <w:sz w:val="24"/>
          <w:szCs w:val="24"/>
          <w:color w:val="auto"/>
        </w:rPr>
      </w:pPr>
    </w:p>
    <w:p>
      <w:pPr>
        <w:ind w:left="640" w:hanging="316"/>
        <w:spacing w:after="0"/>
        <w:tabs>
          <w:tab w:leader="none" w:pos="640" w:val="left"/>
        </w:tabs>
        <w:numPr>
          <w:ilvl w:val="0"/>
          <w:numId w:val="1"/>
        </w:numPr>
        <w:rPr>
          <w:rFonts w:ascii="Arial" w:cs="Arial" w:eastAsia="Arial" w:hAnsi="Arial"/>
          <w:sz w:val="21"/>
          <w:szCs w:val="21"/>
          <w:color w:val="auto"/>
        </w:rPr>
      </w:pPr>
      <w:r>
        <w:rPr>
          <w:rFonts w:ascii="Times New Roman" w:cs="Times New Roman" w:eastAsia="Times New Roman" w:hAnsi="Times New Roman"/>
          <w:sz w:val="18"/>
          <w:szCs w:val="18"/>
          <w:color w:val="auto"/>
        </w:rPr>
        <w:t>Current Report on Form 8-K, which was filed with the Securities and Exchange Commission (the “SEC”) on January 21, 2021.</w:t>
      </w:r>
    </w:p>
    <w:p>
      <w:pPr>
        <w:spacing w:after="0" w:line="219" w:lineRule="exact"/>
        <w:rPr>
          <w:sz w:val="24"/>
          <w:szCs w:val="24"/>
          <w:color w:val="auto"/>
        </w:rPr>
      </w:pPr>
    </w:p>
    <w:p>
      <w:pPr>
        <w:jc w:val="both"/>
        <w:ind w:right="360" w:firstLine="318"/>
        <w:spacing w:after="0" w:line="244"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this prospectus supplement supersedes the information contained in the Prospectus.</w:t>
      </w:r>
    </w:p>
    <w:p>
      <w:pPr>
        <w:spacing w:after="0" w:line="20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w:t>
      </w:r>
    </w:p>
    <w:p>
      <w:pPr>
        <w:spacing w:after="0" w:line="23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“CRC.”</w:t>
      </w:r>
    </w:p>
    <w:p>
      <w:pPr>
        <w:spacing w:after="0" w:line="21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Investing in our common stock involves risks. Please see “Risk Factors” beginning on page 3 of the Prospectus.</w:t>
      </w:r>
    </w:p>
    <w:p>
      <w:pPr>
        <w:spacing w:after="0" w:line="247" w:lineRule="exact"/>
        <w:rPr>
          <w:sz w:val="24"/>
          <w:szCs w:val="24"/>
          <w:color w:val="auto"/>
        </w:rPr>
      </w:pPr>
    </w:p>
    <w:p>
      <w:pPr>
        <w:ind w:right="22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on the adequacy or accuracy of this prospectus. Any representation to the contrary is a criminal offense.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71348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644525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669290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20, 2021</w:t>
      </w:r>
    </w:p>
    <w:p>
      <w:pPr>
        <w:spacing w:after="0" w:line="1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378" w:right="479" w:bottom="1440" w:gutter="0" w:footer="0" w:header="0"/>
        </w:sectPr>
      </w:pP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17" w:lineRule="exact"/>
        <w:rPr>
          <w:sz w:val="20"/>
          <w:szCs w:val="20"/>
          <w:color w:val="auto"/>
        </w:rPr>
      </w:pPr>
    </w:p>
    <w:p>
      <w:pPr>
        <w:sectPr>
          <w:pgSz w:w="11900" w:h="16838" w:orient="portrait"/>
          <w:cols w:equalWidth="0" w:num="3">
            <w:col w:w="4480" w:space="720"/>
            <w:col w:w="3000" w:space="720"/>
            <w:col w:w="2180"/>
          </w:cols>
          <w:pgMar w:left="320" w:top="1378" w:right="479" w:bottom="1440" w:gutter="0" w:footer="0" w:header="0"/>
          <w:type w:val="continuous"/>
        </w:sectPr>
      </w:pPr>
    </w:p>
    <w:p>
      <w:pPr>
        <w:spacing w:after="0" w:line="1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(State or Other Jurisdiction of</w:t>
      </w:r>
    </w:p>
    <w:p>
      <w:pPr>
        <w:jc w:val="center"/>
        <w:ind w:right="68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0" w:lineRule="exact"/>
        <w:rPr>
          <w:sz w:val="20"/>
          <w:szCs w:val="20"/>
          <w:color w:val="auto"/>
        </w:rPr>
      </w:pPr>
    </w:p>
    <w:p>
      <w:pPr>
        <w:sectPr>
          <w:pgSz w:w="11900" w:h="16838" w:orient="portrait"/>
          <w:cols w:equalWidth="0" w:num="3">
            <w:col w:w="4380" w:space="720"/>
            <w:col w:w="2880" w:space="720"/>
            <w:col w:w="2400"/>
          </w:cols>
          <w:pgMar w:left="320" w:top="1378" w:right="479" w:bottom="144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27200 Tourney Road</w:t>
      </w:r>
    </w:p>
    <w:p>
      <w:pPr>
        <w:spacing w:after="0" w:line="3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1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1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91355</w:t>
      </w:r>
    </w:p>
    <w:p>
      <w:pPr>
        <w:spacing w:after="0" w:line="37" w:lineRule="exact"/>
        <w:rPr>
          <w:sz w:val="20"/>
          <w:szCs w:val="20"/>
          <w:color w:val="auto"/>
        </w:rPr>
      </w:pPr>
    </w:p>
    <w:p>
      <w:pPr>
        <w:sectPr>
          <w:pgSz w:w="11900" w:h="16838" w:orient="portrait"/>
          <w:cols w:equalWidth="0" w:num="2">
            <w:col w:w="7460" w:space="720"/>
            <w:col w:w="2920"/>
          </w:cols>
          <w:pgMar w:left="320" w:top="1378" w:right="47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0"/>
          <w:szCs w:val="20"/>
          <w:color w:val="auto"/>
        </w:rPr>
      </w:pPr>
    </w:p>
    <w:p>
      <w:pPr>
        <w:sectPr>
          <w:pgSz w:w="11900" w:h="16838" w:orient="portrait"/>
          <w:cols w:equalWidth="0" w:num="2">
            <w:col w:w="7300" w:space="720"/>
            <w:col w:w="3080"/>
          </w:cols>
          <w:pgMar w:left="320" w:top="1378" w:right="479" w:bottom="1440" w:gutter="0" w:footer="0" w:header="0"/>
          <w:type w:val="continuous"/>
        </w:sectPr>
      </w:pPr>
    </w:p>
    <w:p>
      <w:pPr>
        <w:spacing w:after="0" w:line="6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7" w:lineRule="exact"/>
        <w:rPr>
          <w:sz w:val="20"/>
          <w:szCs w:val="20"/>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1" w:lineRule="exact"/>
        <w:rPr>
          <w:rFonts w:ascii="MS PGothic" w:cs="MS PGothic" w:eastAsia="MS PGothic" w:hAnsi="MS PGothic"/>
          <w:sz w:val="18"/>
          <w:szCs w:val="18"/>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1" w:lineRule="exact"/>
        <w:rPr>
          <w:rFonts w:ascii="MS PGothic" w:cs="MS PGothic" w:eastAsia="MS PGothic" w:hAnsi="MS PGothic"/>
          <w:sz w:val="18"/>
          <w:szCs w:val="18"/>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1" w:lineRule="exact"/>
        <w:rPr>
          <w:rFonts w:ascii="MS PGothic" w:cs="MS PGothic" w:eastAsia="MS PGothic" w:hAnsi="MS PGothic"/>
          <w:sz w:val="18"/>
          <w:szCs w:val="18"/>
          <w:color w:val="auto"/>
        </w:rPr>
      </w:pPr>
    </w:p>
    <w:p>
      <w:pPr>
        <w:ind w:left="340" w:hanging="33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378" w:right="479" w:bottom="1440" w:gutter="0" w:footer="0" w:header="0"/>
          <w:type w:val="continuous"/>
        </w:sectPr>
      </w:pPr>
    </w:p>
    <w:p>
      <w:pPr>
        <w:spacing w:after="0" w:line="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8" w:lineRule="exact"/>
        <w:rPr>
          <w:sz w:val="20"/>
          <w:szCs w:val="20"/>
          <w:color w:val="auto"/>
        </w:rPr>
      </w:pPr>
    </w:p>
    <w:p>
      <w:pPr>
        <w:sectPr>
          <w:pgSz w:w="11900" w:h="16838" w:orient="portrait"/>
          <w:cols w:equalWidth="0" w:num="3">
            <w:col w:w="3500" w:space="720"/>
            <w:col w:w="2260" w:space="720"/>
            <w:col w:w="3900"/>
          </w:cols>
          <w:pgMar w:left="320" w:top="1378" w:right="4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03" w:lineRule="exact"/>
        <w:rPr>
          <w:sz w:val="20"/>
          <w:szCs w:val="20"/>
          <w:color w:val="auto"/>
        </w:rPr>
      </w:pPr>
    </w:p>
    <w:p>
      <w:pPr>
        <w:sectPr>
          <w:pgSz w:w="11900" w:h="16838" w:orient="portrait"/>
          <w:cols w:equalWidth="0" w:num="3">
            <w:col w:w="4020" w:space="720"/>
            <w:col w:w="2420" w:space="720"/>
            <w:col w:w="3220"/>
          </w:cols>
          <w:pgMar w:left="320" w:top="1378" w:right="479" w:bottom="1440" w:gutter="0" w:footer="0" w:header="0"/>
          <w:type w:val="continuous"/>
        </w:sect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3" w:lineRule="exact"/>
        <w:rPr>
          <w:sz w:val="20"/>
          <w:szCs w:val="20"/>
          <w:color w:val="auto"/>
        </w:rPr>
      </w:pPr>
    </w:p>
    <w:p>
      <w:pPr>
        <w:ind w:right="4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182245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00"/>
          </w:cols>
          <w:pgMar w:left="320" w:top="1378" w:right="479" w:bottom="1440" w:gutter="0" w:footer="0" w:header="0"/>
          <w:type w:val="continuous"/>
        </w:sectPr>
      </w:pPr>
    </w:p>
    <w:bookmarkStart w:id="2" w:name="page3"/>
    <w:bookmarkEnd w:id="2"/>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32" w:lineRule="exact"/>
        <w:rPr>
          <w:sz w:val="20"/>
          <w:szCs w:val="20"/>
          <w:color w:val="auto"/>
        </w:rPr>
      </w:pPr>
    </w:p>
    <w:p>
      <w:pPr>
        <w:ind w:right="60" w:firstLine="318"/>
        <w:spacing w:after="0" w:line="238" w:lineRule="auto"/>
        <w:rPr>
          <w:sz w:val="20"/>
          <w:szCs w:val="20"/>
          <w:color w:val="auto"/>
        </w:rPr>
      </w:pPr>
      <w:r>
        <w:rPr>
          <w:rFonts w:ascii="Times New Roman" w:cs="Times New Roman" w:eastAsia="Times New Roman" w:hAnsi="Times New Roman"/>
          <w:sz w:val="18"/>
          <w:szCs w:val="18"/>
          <w:color w:val="auto"/>
        </w:rPr>
        <w:t>On January 20, 2021, California Resources Corporation (the “Company”) completed its previously announced offering of $600 million aggregate principal amount of its 7.125% senior notes due 2026 (the “Notes”). The terms of the Notes are governed by the Indenture (the “Indenture”), dated as of January 20, 2021, by and among the Company, the guarantors party thereto and Wilmington Trust, National Association, as trustee (the “Trustee”). The Notes will mature on February 1, 2026. Interest will accrue from January 20, 2021 and will be payable semi-annually on February 1 and August 1 of each year, commencing August 1, 2021.</w:t>
      </w:r>
    </w:p>
    <w:p>
      <w:pPr>
        <w:spacing w:after="0" w:line="206"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8"/>
          <w:szCs w:val="18"/>
          <w:color w:val="auto"/>
        </w:rPr>
        <w:t>The Notes are fully and unconditionally guaranteed, jointly and severally, on a senior unsecured basis by the guarantors identified in the Indenture and the Supplemental Indenture attached hereto (collectively, the “Guarantors”). The Notes and the guarantees are unsecured, rank equally in right of payment with all senior unsecured debt of the Company and the Guarantors and rank senior to all of the existing and future subordinated debt of the Company and the Guarantors.</w:t>
      </w:r>
    </w:p>
    <w:p>
      <w:pPr>
        <w:spacing w:after="0" w:line="209" w:lineRule="exact"/>
        <w:rPr>
          <w:sz w:val="20"/>
          <w:szCs w:val="20"/>
          <w:color w:val="auto"/>
        </w:rPr>
      </w:pPr>
    </w:p>
    <w:p>
      <w:pPr>
        <w:ind w:right="100" w:firstLine="318"/>
        <w:spacing w:after="0" w:line="235"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February 1, 2023 at the redemption prices specified in the Indenture. Prior to such time, the Company may, at its option, redeem up to 35% of the aggregate principal amount of the Notes with an amount of cash not greater than the net cash proceeds from certain equity offerings at the redemption price specified in the Indenture. In addition, before February 1, 2023,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on the Notes repurchased to, but excluding, the date of purchase. The Indenture contains other customary terms, events of default and covenants.</w:t>
      </w:r>
    </w:p>
    <w:p>
      <w:pPr>
        <w:spacing w:after="0" w:line="207"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8"/>
          <w:szCs w:val="18"/>
          <w:color w:val="auto"/>
        </w:rPr>
        <w:t>The above description of the Indenture and the Supplemental Indenture is not complete and is qualified in its entirety by reference to the full text of the Indenture and the Supplemental Indenture, which are filed as Exhibit 4.1 and Exhibit 4.2 hereto and incorporated by reference herein.</w:t>
      </w:r>
    </w:p>
    <w:p>
      <w:pPr>
        <w:spacing w:after="0" w:line="200" w:lineRule="exact"/>
        <w:rPr>
          <w:sz w:val="20"/>
          <w:szCs w:val="20"/>
          <w:color w:val="auto"/>
        </w:rPr>
      </w:pPr>
    </w:p>
    <w:p>
      <w:pPr>
        <w:spacing w:after="0" w:line="2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w:t>
      </w:r>
    </w:p>
    <w:p>
      <w:pPr>
        <w:spacing w:after="0" w:line="232" w:lineRule="exact"/>
        <w:rPr>
          <w:sz w:val="20"/>
          <w:szCs w:val="20"/>
          <w:color w:val="auto"/>
        </w:rPr>
      </w:pPr>
    </w:p>
    <w:p>
      <w:pPr>
        <w:ind w:right="280" w:firstLine="318"/>
        <w:spacing w:after="0" w:line="258"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the Supplemental Indenture and the related guarantees is incorporated by reference into this Item 2.03.</w:t>
      </w:r>
    </w:p>
    <w:p>
      <w:pPr>
        <w:spacing w:after="0" w:line="200" w:lineRule="exact"/>
        <w:rPr>
          <w:sz w:val="20"/>
          <w:szCs w:val="20"/>
          <w:color w:val="auto"/>
        </w:rPr>
      </w:pPr>
    </w:p>
    <w:p>
      <w:pPr>
        <w:spacing w:after="0" w:line="2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7"/>
          <w:szCs w:val="17"/>
          <w:color w:val="auto"/>
        </w:rPr>
        <w:t>Charles F. Weiss, Executive Vice President, Public Affairs, and Darren Williams, Executive Vice President, Exploration and Development, of California Resources Corporation (the “Company”), are leaving the Company in connection with a functional realignment and streamlining of the Company’s leadership team. Roy Pineci, Senior Vice President – Finance and the Company’s principal accounting officer, is expected to depart the Company during the second quarter of 2021. These departures did not result from any dispute or disagreement with the Company on any matter relating to the Company’s operations, financial statements, internal controls, policies or practices. The Company would like to thank Messrs. Weiss, Williams and Pineci for their dedicated service.</w:t>
      </w:r>
    </w:p>
    <w:p>
      <w:pPr>
        <w:sectPr>
          <w:pgSz w:w="11900" w:h="16838" w:orient="portrait"/>
          <w:cols w:equalWidth="0" w:num="1">
            <w:col w:w="11220"/>
          </w:cols>
          <w:pgMar w:left="320" w:top="1391" w:right="359" w:bottom="1440" w:gutter="0" w:footer="0" w:header="0"/>
        </w:sectPr>
      </w:pPr>
    </w:p>
    <w:bookmarkStart w:id="3" w:name="page4"/>
    <w:bookmarkEnd w:id="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Organizational Realignment Press Release</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21, 2021, the Company issued a press release relating to management changes and organizational realignment. The departures of the named executive officers and principal accounting officer described in Item 5.02 above constitute a portion of those changes. A copy of the press release is attached hereto as Exhibit 99.1 and is incorporated by reference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Presentation</w:t>
      </w:r>
    </w:p>
    <w:p>
      <w:pPr>
        <w:spacing w:after="0" w:line="244"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On January 21, 2021, the Company posted an investor presentation on its website at www.crc.com. A copy of the investor presentation is furnished as Exhibit 99.2 to this report and is incorporated herein by reference.</w:t>
      </w:r>
    </w:p>
    <w:p>
      <w:pPr>
        <w:spacing w:after="0" w:line="190" w:lineRule="exact"/>
        <w:rPr>
          <w:sz w:val="20"/>
          <w:szCs w:val="20"/>
          <w:color w:val="auto"/>
        </w:rPr>
      </w:pPr>
    </w:p>
    <w:p>
      <w:pPr>
        <w:jc w:val="both"/>
        <w:ind w:right="20" w:firstLine="318"/>
        <w:spacing w:after="0" w:line="282" w:lineRule="auto"/>
        <w:rPr>
          <w:sz w:val="20"/>
          <w:szCs w:val="20"/>
          <w:color w:val="auto"/>
        </w:rPr>
      </w:pPr>
      <w:r>
        <w:rPr>
          <w:rFonts w:ascii="Times New Roman" w:cs="Times New Roman" w:eastAsia="Times New Roman" w:hAnsi="Times New Roman"/>
          <w:sz w:val="17"/>
          <w:szCs w:val="17"/>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2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90"/>
        </w:trPr>
        <w:tc>
          <w:tcPr>
            <w:tcW w:w="21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4"/>
        </w:trPr>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4.1</w:t>
            </w:r>
          </w:p>
        </w:tc>
        <w:tc>
          <w:tcPr>
            <w:tcW w:w="678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7"/>
              </w:rPr>
              <w:t>Indenture, dated January 20, 2021, by and among the Company, the Guarantors and the Trustee.</w:t>
            </w:r>
          </w:p>
        </w:tc>
        <w:tc>
          <w:tcPr>
            <w:tcW w:w="2040" w:type="dxa"/>
            <w:vAlign w:val="bottom"/>
          </w:tcPr>
          <w:p>
            <w:pPr>
              <w:spacing w:after="0"/>
              <w:rPr>
                <w:sz w:val="19"/>
                <w:szCs w:val="19"/>
                <w:color w:val="auto"/>
              </w:rPr>
            </w:pPr>
          </w:p>
        </w:tc>
      </w:tr>
      <w:tr>
        <w:trPr>
          <w:trHeight w:val="245"/>
        </w:trPr>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4.2</w:t>
            </w:r>
          </w:p>
        </w:tc>
        <w:tc>
          <w:tcPr>
            <w:tcW w:w="882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w w:val="97"/>
              </w:rPr>
              <w:t>First Supplemental Indenture, dated January 20, 2021, by and among the Company, the Guarantors, the EHP Entities and the</w:t>
            </w:r>
          </w:p>
        </w:tc>
      </w:tr>
      <w:tr>
        <w:trPr>
          <w:trHeight w:val="192"/>
        </w:trPr>
        <w:tc>
          <w:tcPr>
            <w:tcW w:w="2180" w:type="dxa"/>
            <w:vAlign w:val="bottom"/>
          </w:tcPr>
          <w:p>
            <w:pPr>
              <w:spacing w:after="0"/>
              <w:rPr>
                <w:sz w:val="16"/>
                <w:szCs w:val="16"/>
                <w:color w:val="auto"/>
              </w:rPr>
            </w:pPr>
          </w:p>
        </w:tc>
        <w:tc>
          <w:tcPr>
            <w:tcW w:w="580" w:type="dxa"/>
            <w:vAlign w:val="bottom"/>
            <w:tcBorders>
              <w:bottom w:val="single" w:sz="8" w:color="3051F2"/>
            </w:tcBorders>
          </w:tcPr>
          <w:p>
            <w:pPr>
              <w:spacing w:after="0" w:line="192" w:lineRule="exact"/>
              <w:rPr>
                <w:sz w:val="20"/>
                <w:szCs w:val="20"/>
                <w:color w:val="auto"/>
              </w:rPr>
            </w:pPr>
            <w:r>
              <w:rPr>
                <w:rFonts w:ascii="Times New Roman" w:cs="Times New Roman" w:eastAsia="Times New Roman" w:hAnsi="Times New Roman"/>
                <w:sz w:val="18"/>
                <w:szCs w:val="18"/>
                <w:color w:val="3051F2"/>
                <w:w w:val="95"/>
              </w:rPr>
              <w:t>Trustee.</w:t>
            </w:r>
          </w:p>
        </w:tc>
        <w:tc>
          <w:tcPr>
            <w:tcW w:w="8240" w:type="dxa"/>
            <w:vAlign w:val="bottom"/>
            <w:gridSpan w:val="4"/>
          </w:tcPr>
          <w:p>
            <w:pPr>
              <w:spacing w:after="0"/>
              <w:rPr>
                <w:sz w:val="16"/>
                <w:szCs w:val="16"/>
                <w:color w:val="auto"/>
              </w:rPr>
            </w:pPr>
          </w:p>
        </w:tc>
      </w:tr>
      <w:tr>
        <w:trPr>
          <w:trHeight w:val="245"/>
        </w:trPr>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99.1</w:t>
            </w:r>
          </w:p>
        </w:tc>
        <w:tc>
          <w:tcPr>
            <w:tcW w:w="264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7"/>
              </w:rPr>
              <w:t>Press release dated January 21, 2021.</w:t>
            </w:r>
          </w:p>
        </w:tc>
        <w:tc>
          <w:tcPr>
            <w:tcW w:w="6180" w:type="dxa"/>
            <w:vAlign w:val="bottom"/>
            <w:gridSpan w:val="2"/>
          </w:tcPr>
          <w:p>
            <w:pPr>
              <w:spacing w:after="0"/>
              <w:rPr>
                <w:sz w:val="21"/>
                <w:szCs w:val="21"/>
                <w:color w:val="auto"/>
              </w:rPr>
            </w:pPr>
          </w:p>
        </w:tc>
      </w:tr>
      <w:tr>
        <w:trPr>
          <w:trHeight w:val="245"/>
        </w:trPr>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99.2</w:t>
            </w:r>
          </w:p>
        </w:tc>
        <w:tc>
          <w:tcPr>
            <w:tcW w:w="15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Investor presentation.</w:t>
            </w:r>
          </w:p>
        </w:tc>
        <w:tc>
          <w:tcPr>
            <w:tcW w:w="7280" w:type="dxa"/>
            <w:vAlign w:val="bottom"/>
            <w:gridSpan w:val="3"/>
          </w:tcPr>
          <w:p>
            <w:pPr>
              <w:spacing w:after="0"/>
              <w:rPr>
                <w:sz w:val="21"/>
                <w:szCs w:val="21"/>
                <w:color w:val="auto"/>
              </w:rPr>
            </w:pPr>
          </w:p>
        </w:tc>
      </w:tr>
    </w:tbl>
    <w:p>
      <w:pPr>
        <w:spacing w:after="0" w:line="61" w:lineRule="exact"/>
        <w:rPr>
          <w:sz w:val="20"/>
          <w:szCs w:val="20"/>
          <w:color w:val="auto"/>
        </w:rPr>
      </w:pPr>
    </w:p>
    <w:p>
      <w:pPr>
        <w:ind w:left="2180" w:hanging="1346"/>
        <w:spacing w:after="0"/>
        <w:tabs>
          <w:tab w:leader="none" w:pos="2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1391" w:right="499" w:bottom="1440" w:gutter="0" w:footer="0" w:header="0"/>
        </w:sectPr>
      </w:pPr>
    </w:p>
    <w:bookmarkStart w:id="4" w:name="page5"/>
    <w:bookmarkEnd w:id="4"/>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23" w:lineRule="exact"/>
        <w:rPr>
          <w:sz w:val="20"/>
          <w:szCs w:val="20"/>
          <w:color w:val="auto"/>
        </w:rPr>
      </w:pPr>
    </w:p>
    <w:p>
      <w:pPr>
        <w:ind w:right="220" w:firstLine="318"/>
        <w:spacing w:after="0" w:line="28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3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3" w:lineRule="exact"/>
        <w:rPr>
          <w:sz w:val="20"/>
          <w:szCs w:val="20"/>
          <w:color w:val="auto"/>
        </w:rPr>
      </w:pPr>
    </w:p>
    <w:tbl>
      <w:tblPr>
        <w:tblLayout w:type="fixed"/>
        <w:tblInd w:w="5120" w:type="dxa"/>
        <w:tblCellMar>
          <w:top w:w="0" w:type="dxa"/>
          <w:left w:w="0" w:type="dxa"/>
          <w:bottom w:w="0" w:type="dxa"/>
          <w:right w:w="0" w:type="dxa"/>
        </w:tblCellMar>
      </w:tblPr>
      <w:tr>
        <w:trPr>
          <w:trHeight w:val="213"/>
        </w:trPr>
        <w:tc>
          <w:tcPr>
            <w:tcW w:w="10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Executive Vice President, Chief</w:t>
            </w:r>
          </w:p>
        </w:tc>
      </w:tr>
      <w:tr>
        <w:trPr>
          <w:trHeight w:val="231"/>
        </w:trPr>
        <w:tc>
          <w:tcPr>
            <w:tcW w:w="1040" w:type="dxa"/>
            <w:vAlign w:val="bottom"/>
          </w:tcPr>
          <w:p>
            <w:pPr>
              <w:spacing w:after="0"/>
              <w:rPr>
                <w:sz w:val="20"/>
                <w:szCs w:val="20"/>
                <w:color w:val="auto"/>
              </w:rPr>
            </w:pPr>
          </w:p>
        </w:tc>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January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320" w:top="1385"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203200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AND EACH OF THE GUARANTORS PARTY HERETO</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7.125% SENIOR NOTES DUE 2026</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_______________________</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INDENTURE</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Dated as of January 20, 2021</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_______________________</w:t>
      </w: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Trustee</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20"/>
          </w:cols>
          <w:pgMar w:left="1440" w:top="13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19"/>
                <w:szCs w:val="19"/>
                <w:color w:val="auto"/>
              </w:rPr>
              <w:t>TABLE OF CONTENTS</w:t>
            </w:r>
          </w:p>
        </w:tc>
        <w:tc>
          <w:tcPr>
            <w:tcW w:w="2100" w:type="dxa"/>
            <w:vAlign w:val="bottom"/>
          </w:tcPr>
          <w:p>
            <w:pPr>
              <w:spacing w:after="0"/>
              <w:rPr>
                <w:sz w:val="22"/>
                <w:szCs w:val="22"/>
                <w:color w:val="auto"/>
              </w:rPr>
            </w:pPr>
          </w:p>
        </w:tc>
      </w:tr>
      <w:tr>
        <w:trPr>
          <w:trHeight w:val="450"/>
        </w:trPr>
        <w:tc>
          <w:tcPr>
            <w:tcW w:w="16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Page</w:t>
            </w:r>
          </w:p>
        </w:tc>
      </w:tr>
      <w:tr>
        <w:trPr>
          <w:trHeight w:val="431"/>
        </w:trPr>
        <w:tc>
          <w:tcPr>
            <w:tcW w:w="1600" w:type="dxa"/>
            <w:vAlign w:val="bottom"/>
          </w:tcPr>
          <w:p>
            <w:pPr>
              <w:spacing w:after="0"/>
              <w:rPr>
                <w:sz w:val="24"/>
                <w:szCs w:val="24"/>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21"/>
                <w:szCs w:val="21"/>
                <w:color w:val="auto"/>
                <w:w w:val="99"/>
              </w:rPr>
              <w:t>ARTICLE 1</w:t>
            </w:r>
          </w:p>
        </w:tc>
        <w:tc>
          <w:tcPr>
            <w:tcW w:w="2100" w:type="dxa"/>
            <w:vAlign w:val="bottom"/>
          </w:tcPr>
          <w:p>
            <w:pPr>
              <w:spacing w:after="0"/>
              <w:rPr>
                <w:sz w:val="24"/>
                <w:szCs w:val="24"/>
                <w:color w:val="auto"/>
              </w:rPr>
            </w:pPr>
          </w:p>
        </w:tc>
      </w:tr>
      <w:tr>
        <w:trPr>
          <w:trHeight w:val="238"/>
        </w:trPr>
        <w:tc>
          <w:tcPr>
            <w:tcW w:w="1600" w:type="dxa"/>
            <w:vAlign w:val="bottom"/>
          </w:tcPr>
          <w:p>
            <w:pPr>
              <w:spacing w:after="0"/>
              <w:rPr>
                <w:sz w:val="20"/>
                <w:szCs w:val="20"/>
                <w:color w:val="auto"/>
              </w:rPr>
            </w:pPr>
          </w:p>
        </w:tc>
        <w:tc>
          <w:tcPr>
            <w:tcW w:w="7300" w:type="dxa"/>
            <w:vAlign w:val="bottom"/>
          </w:tcPr>
          <w:p>
            <w:pPr>
              <w:jc w:val="center"/>
              <w:ind w:left="154"/>
              <w:spacing w:after="0" w:line="239" w:lineRule="exact"/>
              <w:rPr>
                <w:sz w:val="20"/>
                <w:szCs w:val="20"/>
                <w:color w:val="auto"/>
              </w:rPr>
            </w:pPr>
            <w:r>
              <w:rPr>
                <w:rFonts w:ascii="Times New Roman" w:cs="Times New Roman" w:eastAsia="Times New Roman" w:hAnsi="Times New Roman"/>
                <w:sz w:val="21"/>
                <w:szCs w:val="21"/>
                <w:color w:val="auto"/>
              </w:rPr>
              <w:t>DEFINITIONS AND INCORPORATION</w:t>
            </w:r>
          </w:p>
        </w:tc>
        <w:tc>
          <w:tcPr>
            <w:tcW w:w="2100" w:type="dxa"/>
            <w:vAlign w:val="bottom"/>
          </w:tcPr>
          <w:p>
            <w:pPr>
              <w:spacing w:after="0"/>
              <w:rPr>
                <w:sz w:val="20"/>
                <w:szCs w:val="20"/>
                <w:color w:val="auto"/>
              </w:rPr>
            </w:pPr>
          </w:p>
        </w:tc>
      </w:tr>
      <w:tr>
        <w:trPr>
          <w:trHeight w:val="277"/>
        </w:trPr>
        <w:tc>
          <w:tcPr>
            <w:tcW w:w="1600" w:type="dxa"/>
            <w:vAlign w:val="bottom"/>
          </w:tcPr>
          <w:p>
            <w:pPr>
              <w:spacing w:after="0"/>
              <w:rPr>
                <w:sz w:val="24"/>
                <w:szCs w:val="24"/>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21"/>
                <w:szCs w:val="21"/>
                <w:color w:val="auto"/>
              </w:rPr>
              <w:t>BY REFERENCE</w:t>
            </w:r>
          </w:p>
        </w:tc>
        <w:tc>
          <w:tcPr>
            <w:tcW w:w="2100" w:type="dxa"/>
            <w:vAlign w:val="bottom"/>
          </w:tcPr>
          <w:p>
            <w:pPr>
              <w:spacing w:after="0"/>
              <w:rPr>
                <w:sz w:val="24"/>
                <w:szCs w:val="24"/>
                <w:color w:val="auto"/>
              </w:rPr>
            </w:pPr>
          </w:p>
        </w:tc>
      </w:tr>
      <w:tr>
        <w:trPr>
          <w:trHeight w:val="531"/>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1.01</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Definitions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1.02</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Other Definitions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1.03</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No Incorporation by Reference of Trust Indenture Act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1.04</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Rules of Construction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545"/>
        </w:trPr>
        <w:tc>
          <w:tcPr>
            <w:tcW w:w="1600" w:type="dxa"/>
            <w:vAlign w:val="bottom"/>
          </w:tcPr>
          <w:p>
            <w:pPr>
              <w:spacing w:after="0"/>
              <w:rPr>
                <w:sz w:val="24"/>
                <w:szCs w:val="24"/>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21"/>
                <w:szCs w:val="21"/>
                <w:color w:val="auto"/>
                <w:w w:val="99"/>
              </w:rPr>
              <w:t>ARTICLE 2</w:t>
            </w:r>
          </w:p>
        </w:tc>
        <w:tc>
          <w:tcPr>
            <w:tcW w:w="210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7300" w:type="dxa"/>
            <w:vAlign w:val="bottom"/>
          </w:tcPr>
          <w:p>
            <w:pPr>
              <w:jc w:val="center"/>
              <w:ind w:left="174"/>
              <w:spacing w:after="0"/>
              <w:rPr>
                <w:sz w:val="20"/>
                <w:szCs w:val="20"/>
                <w:color w:val="auto"/>
              </w:rPr>
            </w:pPr>
            <w:r>
              <w:rPr>
                <w:rFonts w:ascii="Times New Roman" w:cs="Times New Roman" w:eastAsia="Times New Roman" w:hAnsi="Times New Roman"/>
                <w:sz w:val="21"/>
                <w:szCs w:val="21"/>
                <w:color w:val="auto"/>
              </w:rPr>
              <w:t>THE NOTES</w:t>
            </w:r>
          </w:p>
        </w:tc>
        <w:tc>
          <w:tcPr>
            <w:tcW w:w="2100" w:type="dxa"/>
            <w:vAlign w:val="bottom"/>
          </w:tcPr>
          <w:p>
            <w:pPr>
              <w:spacing w:after="0"/>
              <w:rPr>
                <w:sz w:val="24"/>
                <w:szCs w:val="24"/>
                <w:color w:val="auto"/>
              </w:rPr>
            </w:pPr>
          </w:p>
        </w:tc>
      </w:tr>
      <w:tr>
        <w:trPr>
          <w:trHeight w:val="531"/>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2.01</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Form and Dating</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2.02</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Execution and Authentication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Registrar and Paying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2.04</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Paying Agent to Hold Money in Trust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2.05</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Holder Lists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2.06</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Transfer and Exchange</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2.07</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Replacement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2.08</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Outstanding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2.09</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Treasury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2.10</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Temporary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2.11</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Cancellation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2.12</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Defaulted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2.13</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Issuance of Additional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2.14</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Computation of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2.15</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CUSIP Number</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531"/>
        </w:trPr>
        <w:tc>
          <w:tcPr>
            <w:tcW w:w="1600" w:type="dxa"/>
            <w:vAlign w:val="bottom"/>
          </w:tcPr>
          <w:p>
            <w:pPr>
              <w:spacing w:after="0"/>
              <w:rPr>
                <w:sz w:val="24"/>
                <w:szCs w:val="24"/>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21"/>
                <w:szCs w:val="21"/>
                <w:color w:val="auto"/>
                <w:w w:val="99"/>
              </w:rPr>
              <w:t>ARTICLE 3</w:t>
            </w:r>
          </w:p>
        </w:tc>
        <w:tc>
          <w:tcPr>
            <w:tcW w:w="210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7300" w:type="dxa"/>
            <w:vAlign w:val="bottom"/>
          </w:tcPr>
          <w:p>
            <w:pPr>
              <w:jc w:val="center"/>
              <w:ind w:left="174"/>
              <w:spacing w:after="0"/>
              <w:rPr>
                <w:sz w:val="20"/>
                <w:szCs w:val="20"/>
                <w:color w:val="auto"/>
              </w:rPr>
            </w:pPr>
            <w:r>
              <w:rPr>
                <w:rFonts w:ascii="Times New Roman" w:cs="Times New Roman" w:eastAsia="Times New Roman" w:hAnsi="Times New Roman"/>
                <w:sz w:val="21"/>
                <w:szCs w:val="21"/>
                <w:color w:val="auto"/>
                <w:w w:val="99"/>
              </w:rPr>
              <w:t>REDEMPTION AND PREPAYMENT</w:t>
            </w:r>
          </w:p>
        </w:tc>
        <w:tc>
          <w:tcPr>
            <w:tcW w:w="2100" w:type="dxa"/>
            <w:vAlign w:val="bottom"/>
          </w:tcPr>
          <w:p>
            <w:pPr>
              <w:spacing w:after="0"/>
              <w:rPr>
                <w:sz w:val="24"/>
                <w:szCs w:val="24"/>
                <w:color w:val="auto"/>
              </w:rPr>
            </w:pPr>
          </w:p>
        </w:tc>
      </w:tr>
      <w:tr>
        <w:trPr>
          <w:trHeight w:val="531"/>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3.01</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Notices to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3.02</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Selection of Notes to Be Redeemed</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3.03</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Notice of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3.04</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Effect of Notice of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3.05</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Deposit of Redemption Price</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3.06</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Notes Redeemed in Part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3.07</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Optional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3.08</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Mandatory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3.09</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Offer to Purchase by Application of Excess Proceeds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r>
      <w:tr>
        <w:trPr>
          <w:trHeight w:val="545"/>
        </w:trPr>
        <w:tc>
          <w:tcPr>
            <w:tcW w:w="1600" w:type="dxa"/>
            <w:vAlign w:val="bottom"/>
          </w:tcPr>
          <w:p>
            <w:pPr>
              <w:spacing w:after="0"/>
              <w:rPr>
                <w:sz w:val="24"/>
                <w:szCs w:val="24"/>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21"/>
                <w:szCs w:val="21"/>
                <w:color w:val="auto"/>
                <w:w w:val="99"/>
              </w:rPr>
              <w:t>ARTICLE 4</w:t>
            </w:r>
          </w:p>
        </w:tc>
        <w:tc>
          <w:tcPr>
            <w:tcW w:w="210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7300" w:type="dxa"/>
            <w:vAlign w:val="bottom"/>
          </w:tcPr>
          <w:p>
            <w:pPr>
              <w:jc w:val="center"/>
              <w:ind w:left="154"/>
              <w:spacing w:after="0"/>
              <w:rPr>
                <w:sz w:val="20"/>
                <w:szCs w:val="20"/>
                <w:color w:val="auto"/>
              </w:rPr>
            </w:pPr>
            <w:r>
              <w:rPr>
                <w:rFonts w:ascii="Times New Roman" w:cs="Times New Roman" w:eastAsia="Times New Roman" w:hAnsi="Times New Roman"/>
                <w:sz w:val="21"/>
                <w:szCs w:val="21"/>
                <w:color w:val="auto"/>
              </w:rPr>
              <w:t>COVENANTS</w:t>
            </w:r>
          </w:p>
        </w:tc>
        <w:tc>
          <w:tcPr>
            <w:tcW w:w="2100" w:type="dxa"/>
            <w:vAlign w:val="bottom"/>
          </w:tcPr>
          <w:p>
            <w:pPr>
              <w:spacing w:after="0"/>
              <w:rPr>
                <w:sz w:val="24"/>
                <w:szCs w:val="24"/>
                <w:color w:val="auto"/>
              </w:rPr>
            </w:pPr>
          </w:p>
        </w:tc>
      </w:tr>
      <w:tr>
        <w:trPr>
          <w:trHeight w:val="770"/>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4.01</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Payment of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4.02</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Maintenance of Office or Agency</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4.03</w:t>
            </w:r>
          </w:p>
        </w:tc>
        <w:tc>
          <w:tcPr>
            <w:tcW w:w="7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Reports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bl>
    <w:p>
      <w:pPr>
        <w:sectPr>
          <w:pgSz w:w="11900" w:h="16838" w:orient="portrait"/>
          <w:cols w:equalWidth="0" w:num="1">
            <w:col w:w="11000"/>
          </w:cols>
          <w:pgMar w:left="560" w:top="13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9019"/>
          </w:cols>
          <w:pgMar w:left="1440" w:top="60" w:right="1440" w:bottom="1440" w:gutter="0" w:footer="0" w:header="0"/>
        </w:sectPr>
      </w:pPr>
    </w:p>
    <w:bookmarkStart w:id="8" w:name="page9"/>
    <w:bookmarkEnd w:id="8"/>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0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Page</w:t>
            </w:r>
          </w:p>
        </w:tc>
      </w:tr>
      <w:tr>
        <w:trPr>
          <w:trHeight w:val="524"/>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4.04</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Compliance Certificate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4.05</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Taxes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4.06</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Stay, Extension and Usury Laws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4.07</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Restricted Payments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4.08</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Dividend and Other Payment Restrictions Affecting Restricted Subsidiaries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4.09</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Incurrence of Indebtedness and Issuance of Preferred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4.10</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Asset Sales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4.11</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Transactions with Affiliates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4.12</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Liens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4.13</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[Reserved]</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4.14</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Organization Existence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4.15</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Offer to Repurchase Upon Change of Control Triggering Event</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4.16</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Additional Guarantees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4.17</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Designation of Restricted and Unrestricted Subsidiaries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4.18</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Covenant Termination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783"/>
        </w:trPr>
        <w:tc>
          <w:tcPr>
            <w:tcW w:w="1600" w:type="dxa"/>
            <w:vAlign w:val="bottom"/>
          </w:tcPr>
          <w:p>
            <w:pPr>
              <w:spacing w:after="0"/>
              <w:rPr>
                <w:sz w:val="24"/>
                <w:szCs w:val="24"/>
                <w:color w:val="auto"/>
              </w:rPr>
            </w:pPr>
          </w:p>
        </w:tc>
        <w:tc>
          <w:tcPr>
            <w:tcW w:w="79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9"/>
              </w:rPr>
              <w:t>ARTICLE 5</w:t>
            </w:r>
          </w:p>
        </w:tc>
        <w:tc>
          <w:tcPr>
            <w:tcW w:w="142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79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rPr>
              <w:t>SUCCESSORS</w:t>
            </w:r>
          </w:p>
        </w:tc>
        <w:tc>
          <w:tcPr>
            <w:tcW w:w="1420" w:type="dxa"/>
            <w:vAlign w:val="bottom"/>
          </w:tcPr>
          <w:p>
            <w:pPr>
              <w:spacing w:after="0"/>
              <w:rPr>
                <w:sz w:val="24"/>
                <w:szCs w:val="24"/>
                <w:color w:val="auto"/>
              </w:rPr>
            </w:pPr>
          </w:p>
        </w:tc>
      </w:tr>
      <w:tr>
        <w:trPr>
          <w:trHeight w:val="531"/>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5.01</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Merger, Consolidation or Sale of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5.02</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Successor Issuer Substituted</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r>
      <w:tr>
        <w:trPr>
          <w:trHeight w:val="531"/>
        </w:trPr>
        <w:tc>
          <w:tcPr>
            <w:tcW w:w="1600" w:type="dxa"/>
            <w:vAlign w:val="bottom"/>
          </w:tcPr>
          <w:p>
            <w:pPr>
              <w:spacing w:after="0"/>
              <w:rPr>
                <w:sz w:val="24"/>
                <w:szCs w:val="24"/>
                <w:color w:val="auto"/>
              </w:rPr>
            </w:pPr>
          </w:p>
        </w:tc>
        <w:tc>
          <w:tcPr>
            <w:tcW w:w="79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9"/>
              </w:rPr>
              <w:t>ARTICLE 6</w:t>
            </w:r>
          </w:p>
        </w:tc>
        <w:tc>
          <w:tcPr>
            <w:tcW w:w="142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79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9"/>
              </w:rPr>
              <w:t>DEFAULTS AND REMEDIES</w:t>
            </w:r>
          </w:p>
        </w:tc>
        <w:tc>
          <w:tcPr>
            <w:tcW w:w="1420" w:type="dxa"/>
            <w:vAlign w:val="bottom"/>
          </w:tcPr>
          <w:p>
            <w:pPr>
              <w:spacing w:after="0"/>
              <w:rPr>
                <w:sz w:val="24"/>
                <w:szCs w:val="24"/>
                <w:color w:val="auto"/>
              </w:rPr>
            </w:pPr>
          </w:p>
        </w:tc>
      </w:tr>
      <w:tr>
        <w:trPr>
          <w:trHeight w:val="531"/>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6.01</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Events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6.02</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Acceleration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6.03</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Other Remedies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6.04</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Waiver of Past Defaults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6.05</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Control by Majority</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6.06</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Limitation on Suits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6.07</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Rights of Holders of Notes to Receive Payment</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6.08</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Collection Suit by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6.09</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Trustee May File Proofs of Claim</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6.10</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Priorities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6.11</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Undertaking for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545"/>
        </w:trPr>
        <w:tc>
          <w:tcPr>
            <w:tcW w:w="1600" w:type="dxa"/>
            <w:vAlign w:val="bottom"/>
          </w:tcPr>
          <w:p>
            <w:pPr>
              <w:spacing w:after="0"/>
              <w:rPr>
                <w:sz w:val="24"/>
                <w:szCs w:val="24"/>
                <w:color w:val="auto"/>
              </w:rPr>
            </w:pPr>
          </w:p>
        </w:tc>
        <w:tc>
          <w:tcPr>
            <w:tcW w:w="79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9"/>
              </w:rPr>
              <w:t>ARTICLE 7</w:t>
            </w:r>
          </w:p>
        </w:tc>
        <w:tc>
          <w:tcPr>
            <w:tcW w:w="1420" w:type="dxa"/>
            <w:vAlign w:val="bottom"/>
          </w:tcPr>
          <w:p>
            <w:pPr>
              <w:spacing w:after="0"/>
              <w:rPr>
                <w:sz w:val="24"/>
                <w:szCs w:val="24"/>
                <w:color w:val="auto"/>
              </w:rPr>
            </w:pPr>
          </w:p>
        </w:tc>
      </w:tr>
      <w:tr>
        <w:trPr>
          <w:trHeight w:val="277"/>
        </w:trPr>
        <w:tc>
          <w:tcPr>
            <w:tcW w:w="1600" w:type="dxa"/>
            <w:vAlign w:val="bottom"/>
          </w:tcPr>
          <w:p>
            <w:pPr>
              <w:spacing w:after="0"/>
              <w:rPr>
                <w:sz w:val="24"/>
                <w:szCs w:val="24"/>
                <w:color w:val="auto"/>
              </w:rPr>
            </w:pPr>
          </w:p>
        </w:tc>
        <w:tc>
          <w:tcPr>
            <w:tcW w:w="7980" w:type="dxa"/>
            <w:vAlign w:val="bottom"/>
          </w:tcPr>
          <w:p>
            <w:pPr>
              <w:jc w:val="center"/>
              <w:ind w:right="314"/>
              <w:spacing w:after="0"/>
              <w:rPr>
                <w:sz w:val="20"/>
                <w:szCs w:val="20"/>
                <w:color w:val="auto"/>
              </w:rPr>
            </w:pPr>
            <w:r>
              <w:rPr>
                <w:rFonts w:ascii="Times New Roman" w:cs="Times New Roman" w:eastAsia="Times New Roman" w:hAnsi="Times New Roman"/>
                <w:sz w:val="21"/>
                <w:szCs w:val="21"/>
                <w:color w:val="auto"/>
                <w:w w:val="99"/>
              </w:rPr>
              <w:t>TRUSTEE</w:t>
            </w:r>
          </w:p>
        </w:tc>
        <w:tc>
          <w:tcPr>
            <w:tcW w:w="1420" w:type="dxa"/>
            <w:vAlign w:val="bottom"/>
          </w:tcPr>
          <w:p>
            <w:pPr>
              <w:spacing w:after="0"/>
              <w:rPr>
                <w:sz w:val="24"/>
                <w:szCs w:val="24"/>
                <w:color w:val="auto"/>
              </w:rPr>
            </w:pPr>
          </w:p>
        </w:tc>
      </w:tr>
      <w:tr>
        <w:trPr>
          <w:trHeight w:val="531"/>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7.01</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Duties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7.02</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Rights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7.03</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Individual Rights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7.04</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Trustee’s Disclaimer</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7.05</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Notice of Defaults</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7.06</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[Reserved]</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7.07</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Compensation and Indemnity</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5"/>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7.08</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Replacement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77"/>
        </w:trPr>
        <w:tc>
          <w:tcPr>
            <w:tcW w:w="1600" w:type="dxa"/>
            <w:vAlign w:val="bottom"/>
          </w:tcPr>
          <w:p>
            <w:pPr>
              <w:spacing w:after="0"/>
              <w:rPr>
                <w:sz w:val="20"/>
                <w:szCs w:val="20"/>
                <w:color w:val="auto"/>
              </w:rPr>
            </w:pPr>
            <w:r>
              <w:rPr>
                <w:rFonts w:ascii="Times New Roman" w:cs="Times New Roman" w:eastAsia="Times New Roman" w:hAnsi="Times New Roman"/>
                <w:sz w:val="21"/>
                <w:szCs w:val="21"/>
                <w:color w:val="auto"/>
              </w:rPr>
              <w:t>Section 7.09</w:t>
            </w:r>
          </w:p>
        </w:tc>
        <w:tc>
          <w:tcPr>
            <w:tcW w:w="798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Successor Trustee by Merger, etc.</w:t>
            </w:r>
          </w:p>
        </w:tc>
        <w:tc>
          <w:tcPr>
            <w:tcW w:w="1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bl>
    <w:p>
      <w:pPr>
        <w:spacing w:after="0" w:line="200" w:lineRule="exact"/>
        <w:rPr>
          <w:sz w:val="20"/>
          <w:szCs w:val="20"/>
          <w:color w:val="auto"/>
        </w:rPr>
      </w:pPr>
    </w:p>
    <w:p>
      <w:pPr>
        <w:sectPr>
          <w:pgSz w:w="11900" w:h="17024" w:orient="portrait"/>
          <w:cols w:equalWidth="0" w:num="1">
            <w:col w:w="11000"/>
          </w:cols>
          <w:pgMar w:left="560" w:top="138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ii</w:t>
      </w:r>
    </w:p>
    <w:p>
      <w:pPr>
        <w:sectPr>
          <w:pgSz w:w="11900" w:h="17024" w:orient="portrait"/>
          <w:cols w:equalWidth="0" w:num="1">
            <w:col w:w="11000"/>
          </w:cols>
          <w:pgMar w:left="560" w:top="1387" w:right="339" w:bottom="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9019"/>
          </w:cols>
          <w:pgMar w:left="1440" w:top="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5"/>
        </w:trPr>
        <w:tc>
          <w:tcPr>
            <w:tcW w:w="1660" w:type="dxa"/>
            <w:vAlign w:val="bottom"/>
          </w:tcPr>
          <w:p>
            <w:pPr>
              <w:spacing w:after="0"/>
              <w:rPr>
                <w:sz w:val="22"/>
                <w:szCs w:val="22"/>
                <w:color w:val="auto"/>
              </w:rPr>
            </w:pPr>
          </w:p>
        </w:tc>
        <w:tc>
          <w:tcPr>
            <w:tcW w:w="8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Page</w:t>
            </w:r>
          </w:p>
        </w:tc>
        <w:tc>
          <w:tcPr>
            <w:tcW w:w="0" w:type="dxa"/>
            <w:vAlign w:val="bottom"/>
          </w:tcPr>
          <w:p>
            <w:pPr>
              <w:spacing w:after="0"/>
              <w:rPr>
                <w:sz w:val="1"/>
                <w:szCs w:val="1"/>
                <w:color w:val="auto"/>
              </w:rPr>
            </w:pPr>
          </w:p>
        </w:tc>
      </w:tr>
      <w:tr>
        <w:trPr>
          <w:trHeight w:val="509"/>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7.10</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Eligibility; Disqualification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545"/>
        </w:trPr>
        <w:tc>
          <w:tcPr>
            <w:tcW w:w="1660" w:type="dxa"/>
            <w:vAlign w:val="bottom"/>
          </w:tcPr>
          <w:p>
            <w:pPr>
              <w:spacing w:after="0"/>
              <w:rPr>
                <w:sz w:val="24"/>
                <w:szCs w:val="24"/>
                <w:color w:val="auto"/>
              </w:rPr>
            </w:pPr>
          </w:p>
        </w:tc>
        <w:tc>
          <w:tcPr>
            <w:tcW w:w="8400" w:type="dxa"/>
            <w:vAlign w:val="bottom"/>
          </w:tcPr>
          <w:p>
            <w:pPr>
              <w:jc w:val="center"/>
              <w:ind w:right="854"/>
              <w:spacing w:after="0"/>
              <w:rPr>
                <w:sz w:val="20"/>
                <w:szCs w:val="20"/>
                <w:color w:val="auto"/>
              </w:rPr>
            </w:pPr>
            <w:r>
              <w:rPr>
                <w:rFonts w:ascii="Times New Roman" w:cs="Times New Roman" w:eastAsia="Times New Roman" w:hAnsi="Times New Roman"/>
                <w:sz w:val="21"/>
                <w:szCs w:val="21"/>
                <w:color w:val="auto"/>
                <w:w w:val="99"/>
              </w:rPr>
              <w:t>ARTICLE 8</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4"/>
                <w:szCs w:val="24"/>
                <w:color w:val="auto"/>
              </w:rPr>
            </w:pPr>
          </w:p>
        </w:tc>
        <w:tc>
          <w:tcPr>
            <w:tcW w:w="8400" w:type="dxa"/>
            <w:vAlign w:val="bottom"/>
          </w:tcPr>
          <w:p>
            <w:pPr>
              <w:jc w:val="center"/>
              <w:ind w:right="854"/>
              <w:spacing w:after="0"/>
              <w:rPr>
                <w:sz w:val="20"/>
                <w:szCs w:val="20"/>
                <w:color w:val="auto"/>
              </w:rPr>
            </w:pPr>
            <w:r>
              <w:rPr>
                <w:rFonts w:ascii="Times New Roman" w:cs="Times New Roman" w:eastAsia="Times New Roman" w:hAnsi="Times New Roman"/>
                <w:sz w:val="21"/>
                <w:szCs w:val="21"/>
                <w:color w:val="auto"/>
              </w:rPr>
              <w:t>LEGAL DEFEASANCE AND COVENANT DEFEASANCE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8.01</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Option to Effect Legal Defeasance or Covenant Defeasance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8.02</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Legal Defeasance and Discharge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8.03</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Covenant Defeasance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8.04</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Conditions to Legal or Covenant Defeasance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13"/>
        </w:trPr>
        <w:tc>
          <w:tcPr>
            <w:tcW w:w="166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Section 8.05</w:t>
            </w:r>
          </w:p>
        </w:tc>
        <w:tc>
          <w:tcPr>
            <w:tcW w:w="8400" w:type="dxa"/>
            <w:vAlign w:val="bottom"/>
          </w:tcPr>
          <w:p>
            <w:pPr>
              <w:ind w:left="480"/>
              <w:spacing w:after="0" w:line="213" w:lineRule="exact"/>
              <w:rPr>
                <w:sz w:val="20"/>
                <w:szCs w:val="20"/>
                <w:color w:val="auto"/>
              </w:rPr>
            </w:pPr>
            <w:r>
              <w:rPr>
                <w:rFonts w:ascii="Times New Roman" w:cs="Times New Roman" w:eastAsia="Times New Roman" w:hAnsi="Times New Roman"/>
                <w:sz w:val="21"/>
                <w:szCs w:val="21"/>
                <w:color w:val="auto"/>
              </w:rPr>
              <w:t>Deposited Money and Government Securities to be Held in Trust; Other Miscellaneous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Provisions</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8.06</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Repayment to Issuer</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8.07</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Reinstatement</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4"/>
                <w:szCs w:val="24"/>
                <w:color w:val="auto"/>
              </w:rPr>
            </w:pPr>
          </w:p>
        </w:tc>
        <w:tc>
          <w:tcPr>
            <w:tcW w:w="8400" w:type="dxa"/>
            <w:vAlign w:val="bottom"/>
          </w:tcPr>
          <w:p>
            <w:pPr>
              <w:jc w:val="center"/>
              <w:ind w:right="854"/>
              <w:spacing w:after="0"/>
              <w:rPr>
                <w:sz w:val="20"/>
                <w:szCs w:val="20"/>
                <w:color w:val="auto"/>
              </w:rPr>
            </w:pPr>
            <w:r>
              <w:rPr>
                <w:rFonts w:ascii="Times New Roman" w:cs="Times New Roman" w:eastAsia="Times New Roman" w:hAnsi="Times New Roman"/>
                <w:sz w:val="21"/>
                <w:szCs w:val="21"/>
                <w:color w:val="auto"/>
                <w:w w:val="99"/>
              </w:rPr>
              <w:t>ARTICLE 9</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4"/>
                <w:szCs w:val="24"/>
                <w:color w:val="auto"/>
              </w:rPr>
            </w:pPr>
          </w:p>
        </w:tc>
        <w:tc>
          <w:tcPr>
            <w:tcW w:w="8400" w:type="dxa"/>
            <w:vAlign w:val="bottom"/>
          </w:tcPr>
          <w:p>
            <w:pPr>
              <w:jc w:val="center"/>
              <w:ind w:right="834"/>
              <w:spacing w:after="0"/>
              <w:rPr>
                <w:sz w:val="20"/>
                <w:szCs w:val="20"/>
                <w:color w:val="auto"/>
              </w:rPr>
            </w:pPr>
            <w:r>
              <w:rPr>
                <w:rFonts w:ascii="Times New Roman" w:cs="Times New Roman" w:eastAsia="Times New Roman" w:hAnsi="Times New Roman"/>
                <w:sz w:val="21"/>
                <w:szCs w:val="21"/>
                <w:color w:val="auto"/>
                <w:w w:val="99"/>
              </w:rPr>
              <w:t>AMENDMENT, SUPPLEMENT AND WAIVER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9.01</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Without Consent of Holders of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9.02</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With Consent of Holders of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9.03</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Revocation and Effect of Consents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9.04</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Notation on or Exchange of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9.05</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Trustee to Sign Amendments, etc.</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9.06</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Effect of Supplemental Indentures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545"/>
        </w:trPr>
        <w:tc>
          <w:tcPr>
            <w:tcW w:w="1660" w:type="dxa"/>
            <w:vAlign w:val="bottom"/>
          </w:tcPr>
          <w:p>
            <w:pPr>
              <w:spacing w:after="0"/>
              <w:rPr>
                <w:sz w:val="24"/>
                <w:szCs w:val="24"/>
                <w:color w:val="auto"/>
              </w:rPr>
            </w:pPr>
          </w:p>
        </w:tc>
        <w:tc>
          <w:tcPr>
            <w:tcW w:w="8400" w:type="dxa"/>
            <w:vAlign w:val="bottom"/>
          </w:tcPr>
          <w:p>
            <w:pPr>
              <w:jc w:val="center"/>
              <w:ind w:right="834"/>
              <w:spacing w:after="0"/>
              <w:rPr>
                <w:sz w:val="20"/>
                <w:szCs w:val="20"/>
                <w:color w:val="auto"/>
              </w:rPr>
            </w:pPr>
            <w:r>
              <w:rPr>
                <w:rFonts w:ascii="Times New Roman" w:cs="Times New Roman" w:eastAsia="Times New Roman" w:hAnsi="Times New Roman"/>
                <w:sz w:val="21"/>
                <w:szCs w:val="21"/>
                <w:color w:val="auto"/>
                <w:w w:val="99"/>
              </w:rPr>
              <w:t>ARTICLE 10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4"/>
                <w:szCs w:val="24"/>
                <w:color w:val="auto"/>
              </w:rPr>
            </w:pPr>
          </w:p>
        </w:tc>
        <w:tc>
          <w:tcPr>
            <w:tcW w:w="8400" w:type="dxa"/>
            <w:vAlign w:val="bottom"/>
          </w:tcPr>
          <w:p>
            <w:pPr>
              <w:jc w:val="center"/>
              <w:ind w:right="834"/>
              <w:spacing w:after="0"/>
              <w:rPr>
                <w:sz w:val="20"/>
                <w:szCs w:val="20"/>
                <w:color w:val="auto"/>
              </w:rPr>
            </w:pPr>
            <w:r>
              <w:rPr>
                <w:rFonts w:ascii="Times New Roman" w:cs="Times New Roman" w:eastAsia="Times New Roman" w:hAnsi="Times New Roman"/>
                <w:sz w:val="21"/>
                <w:szCs w:val="21"/>
                <w:color w:val="auto"/>
              </w:rPr>
              <w:t>GUARANTEES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10.01</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Guarantee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10.02</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Limitation on Guarantor 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10.03</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Guarantee Evidenced by Indenture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10.04</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Releases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545"/>
        </w:trPr>
        <w:tc>
          <w:tcPr>
            <w:tcW w:w="1660" w:type="dxa"/>
            <w:vAlign w:val="bottom"/>
          </w:tcPr>
          <w:p>
            <w:pPr>
              <w:spacing w:after="0"/>
              <w:rPr>
                <w:sz w:val="24"/>
                <w:szCs w:val="24"/>
                <w:color w:val="auto"/>
              </w:rPr>
            </w:pPr>
          </w:p>
        </w:tc>
        <w:tc>
          <w:tcPr>
            <w:tcW w:w="8400" w:type="dxa"/>
            <w:vAlign w:val="bottom"/>
          </w:tcPr>
          <w:p>
            <w:pPr>
              <w:jc w:val="center"/>
              <w:ind w:right="834"/>
              <w:spacing w:after="0"/>
              <w:rPr>
                <w:sz w:val="20"/>
                <w:szCs w:val="20"/>
                <w:color w:val="auto"/>
              </w:rPr>
            </w:pPr>
            <w:r>
              <w:rPr>
                <w:rFonts w:ascii="Times New Roman" w:cs="Times New Roman" w:eastAsia="Times New Roman" w:hAnsi="Times New Roman"/>
                <w:sz w:val="21"/>
                <w:szCs w:val="21"/>
                <w:color w:val="auto"/>
                <w:w w:val="99"/>
              </w:rPr>
              <w:t>ARTICLE 11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4"/>
                <w:szCs w:val="24"/>
                <w:color w:val="auto"/>
              </w:rPr>
            </w:pPr>
          </w:p>
        </w:tc>
        <w:tc>
          <w:tcPr>
            <w:tcW w:w="8400" w:type="dxa"/>
            <w:vAlign w:val="bottom"/>
          </w:tcPr>
          <w:p>
            <w:pPr>
              <w:jc w:val="center"/>
              <w:ind w:right="854"/>
              <w:spacing w:after="0"/>
              <w:rPr>
                <w:sz w:val="20"/>
                <w:szCs w:val="20"/>
                <w:color w:val="auto"/>
              </w:rPr>
            </w:pPr>
            <w:r>
              <w:rPr>
                <w:rFonts w:ascii="Times New Roman" w:cs="Times New Roman" w:eastAsia="Times New Roman" w:hAnsi="Times New Roman"/>
                <w:sz w:val="21"/>
                <w:szCs w:val="21"/>
                <w:color w:val="auto"/>
                <w:w w:val="99"/>
              </w:rPr>
              <w:t>SATISFACTION AND DISCHARGE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11.01</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Satisfaction and Discharge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11.02</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Application of Trust Money</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4"/>
                <w:szCs w:val="24"/>
                <w:color w:val="auto"/>
              </w:rPr>
            </w:pPr>
          </w:p>
        </w:tc>
        <w:tc>
          <w:tcPr>
            <w:tcW w:w="8400" w:type="dxa"/>
            <w:vAlign w:val="bottom"/>
          </w:tcPr>
          <w:p>
            <w:pPr>
              <w:jc w:val="center"/>
              <w:ind w:right="834"/>
              <w:spacing w:after="0"/>
              <w:rPr>
                <w:sz w:val="20"/>
                <w:szCs w:val="20"/>
                <w:color w:val="auto"/>
              </w:rPr>
            </w:pPr>
            <w:r>
              <w:rPr>
                <w:rFonts w:ascii="Times New Roman" w:cs="Times New Roman" w:eastAsia="Times New Roman" w:hAnsi="Times New Roman"/>
                <w:sz w:val="21"/>
                <w:szCs w:val="21"/>
                <w:color w:val="auto"/>
                <w:w w:val="99"/>
              </w:rPr>
              <w:t>ARTICLE 12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4"/>
                <w:szCs w:val="24"/>
                <w:color w:val="auto"/>
              </w:rPr>
            </w:pPr>
          </w:p>
        </w:tc>
        <w:tc>
          <w:tcPr>
            <w:tcW w:w="8400" w:type="dxa"/>
            <w:vAlign w:val="bottom"/>
          </w:tcPr>
          <w:p>
            <w:pPr>
              <w:jc w:val="center"/>
              <w:ind w:right="854"/>
              <w:spacing w:after="0"/>
              <w:rPr>
                <w:sz w:val="20"/>
                <w:szCs w:val="20"/>
                <w:color w:val="auto"/>
              </w:rPr>
            </w:pPr>
            <w:r>
              <w:rPr>
                <w:rFonts w:ascii="Times New Roman" w:cs="Times New Roman" w:eastAsia="Times New Roman" w:hAnsi="Times New Roman"/>
                <w:sz w:val="21"/>
                <w:szCs w:val="21"/>
                <w:color w:val="auto"/>
              </w:rPr>
              <w:t>MISCELLANEOUS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12.01</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12.02</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Notices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12.03</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Benefit of Indenture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12.04</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Certificate of Opinion as to Conditions Precedent</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12.05</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Statements Required in Certificate or Opinion</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12.06</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Rules by Trustee and Agents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12.07</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No Personal Liability of Directors, Officers, Employees and Members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12.08</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Governing Law; Jurisdiction</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12.09</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No Adverse Interpretation of Other Agreements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12.10</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Successors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Section 12.11</w:t>
            </w:r>
          </w:p>
        </w:tc>
        <w:tc>
          <w:tcPr>
            <w:tcW w:w="840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Severability; Entire Agreement</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w:t>
            </w:r>
          </w:p>
        </w:tc>
        <w:tc>
          <w:tcPr>
            <w:tcW w:w="0" w:type="dxa"/>
            <w:vAlign w:val="bottom"/>
          </w:tcPr>
          <w:p>
            <w:pPr>
              <w:spacing w:after="0"/>
              <w:rPr>
                <w:sz w:val="1"/>
                <w:szCs w:val="1"/>
                <w:color w:val="auto"/>
              </w:rPr>
            </w:pPr>
          </w:p>
        </w:tc>
      </w:tr>
    </w:tbl>
    <w:p>
      <w:pPr>
        <w:sectPr>
          <w:pgSz w:w="11900" w:h="16838" w:orient="portrait"/>
          <w:cols w:equalWidth="0" w:num="1">
            <w:col w:w="11000"/>
          </w:cols>
          <w:pgMar w:left="560" w:top="1387" w:right="339" w:bottom="488"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9019"/>
          </w:cols>
          <w:pgMar w:left="1440" w:top="54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5"/>
        </w:trPr>
        <w:tc>
          <w:tcPr>
            <w:tcW w:w="156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800" w:type="dxa"/>
            <w:vAlign w:val="bottom"/>
          </w:tcPr>
          <w:p>
            <w:pPr>
              <w:jc w:val="center"/>
              <w:ind w:left="295"/>
              <w:spacing w:after="0"/>
              <w:rPr>
                <w:sz w:val="20"/>
                <w:szCs w:val="20"/>
                <w:color w:val="auto"/>
              </w:rPr>
            </w:pPr>
            <w:r>
              <w:rPr>
                <w:rFonts w:ascii="Times New Roman" w:cs="Times New Roman" w:eastAsia="Times New Roman" w:hAnsi="Times New Roman"/>
                <w:sz w:val="19"/>
                <w:szCs w:val="19"/>
                <w:i w:val="1"/>
                <w:iCs w:val="1"/>
                <w:color w:val="auto"/>
              </w:rPr>
              <w:t>Page</w:t>
            </w:r>
          </w:p>
        </w:tc>
      </w:tr>
      <w:tr>
        <w:trPr>
          <w:trHeight w:val="524"/>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12.12</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Counterpart Originals</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106</w:t>
            </w:r>
          </w:p>
        </w:tc>
      </w:tr>
      <w:tr>
        <w:trPr>
          <w:trHeight w:val="265"/>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12.13</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Table of Contents, Headings, etc.</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106</w:t>
            </w:r>
          </w:p>
        </w:tc>
      </w:tr>
      <w:tr>
        <w:trPr>
          <w:trHeight w:val="265"/>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12.14</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Payment Due Other Than a Business Day</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106</w:t>
            </w:r>
          </w:p>
        </w:tc>
      </w:tr>
      <w:tr>
        <w:trPr>
          <w:trHeight w:val="265"/>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12.15</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Action by Holders</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106</w:t>
            </w:r>
          </w:p>
        </w:tc>
      </w:tr>
      <w:tr>
        <w:trPr>
          <w:trHeight w:val="265"/>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12.16</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Waiver of Jury Trial</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108</w:t>
            </w:r>
          </w:p>
        </w:tc>
      </w:tr>
      <w:tr>
        <w:trPr>
          <w:trHeight w:val="265"/>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12.17</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Electronic Delivery</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108</w:t>
            </w:r>
          </w:p>
        </w:tc>
      </w:tr>
      <w:tr>
        <w:trPr>
          <w:trHeight w:val="277"/>
        </w:trPr>
        <w:tc>
          <w:tcPr>
            <w:tcW w:w="15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12.18</w:t>
            </w:r>
          </w:p>
        </w:tc>
        <w:tc>
          <w:tcPr>
            <w:tcW w:w="8860" w:type="dxa"/>
            <w:vAlign w:val="bottom"/>
          </w:tcPr>
          <w:p>
            <w:pPr>
              <w:ind w:left="800"/>
              <w:spacing w:after="0"/>
              <w:rPr>
                <w:sz w:val="20"/>
                <w:szCs w:val="20"/>
                <w:color w:val="auto"/>
              </w:rPr>
            </w:pPr>
            <w:r>
              <w:rPr>
                <w:rFonts w:ascii="Times New Roman" w:cs="Times New Roman" w:eastAsia="Times New Roman" w:hAnsi="Times New Roman"/>
                <w:sz w:val="21"/>
                <w:szCs w:val="21"/>
                <w:color w:val="auto"/>
              </w:rPr>
              <w:t>Language of Notices. Etc.</w:t>
            </w:r>
          </w:p>
        </w:tc>
        <w:tc>
          <w:tcPr>
            <w:tcW w:w="800" w:type="dxa"/>
            <w:vAlign w:val="bottom"/>
          </w:tcPr>
          <w:p>
            <w:pPr>
              <w:jc w:val="center"/>
              <w:ind w:left="335"/>
              <w:spacing w:after="0"/>
              <w:rPr>
                <w:sz w:val="20"/>
                <w:szCs w:val="20"/>
                <w:color w:val="auto"/>
              </w:rPr>
            </w:pPr>
            <w:r>
              <w:rPr>
                <w:rFonts w:ascii="Times New Roman" w:cs="Times New Roman" w:eastAsia="Times New Roman" w:hAnsi="Times New Roman"/>
                <w:sz w:val="21"/>
                <w:szCs w:val="21"/>
                <w:color w:val="auto"/>
              </w:rPr>
              <w:t>109</w:t>
            </w:r>
          </w:p>
        </w:tc>
      </w:tr>
      <w:tr>
        <w:trPr>
          <w:trHeight w:val="564"/>
        </w:trPr>
        <w:tc>
          <w:tcPr>
            <w:tcW w:w="1560" w:type="dxa"/>
            <w:vAlign w:val="bottom"/>
          </w:tcPr>
          <w:p>
            <w:pPr>
              <w:spacing w:after="0"/>
              <w:rPr>
                <w:sz w:val="24"/>
                <w:szCs w:val="24"/>
                <w:color w:val="auto"/>
              </w:rPr>
            </w:pPr>
          </w:p>
        </w:tc>
        <w:tc>
          <w:tcPr>
            <w:tcW w:w="8860" w:type="dxa"/>
            <w:vAlign w:val="bottom"/>
          </w:tcPr>
          <w:p>
            <w:pPr>
              <w:ind w:left="3600"/>
              <w:spacing w:after="0"/>
              <w:rPr>
                <w:sz w:val="20"/>
                <w:szCs w:val="20"/>
                <w:color w:val="auto"/>
              </w:rPr>
            </w:pPr>
            <w:r>
              <w:rPr>
                <w:rFonts w:ascii="Times New Roman" w:cs="Times New Roman" w:eastAsia="Times New Roman" w:hAnsi="Times New Roman"/>
                <w:sz w:val="19"/>
                <w:szCs w:val="19"/>
                <w:color w:val="auto"/>
              </w:rPr>
              <w:t>EXHIBITS</w:t>
            </w:r>
          </w:p>
        </w:tc>
        <w:tc>
          <w:tcPr>
            <w:tcW w:w="800" w:type="dxa"/>
            <w:vAlign w:val="bottom"/>
          </w:tcPr>
          <w:p>
            <w:pPr>
              <w:spacing w:after="0"/>
              <w:rPr>
                <w:sz w:val="24"/>
                <w:szCs w:val="24"/>
                <w:color w:val="auto"/>
              </w:rPr>
            </w:pPr>
          </w:p>
        </w:tc>
      </w:tr>
      <w:tr>
        <w:trPr>
          <w:trHeight w:val="476"/>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Exhibit A</w:t>
            </w:r>
          </w:p>
        </w:tc>
        <w:tc>
          <w:tcPr>
            <w:tcW w:w="88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FORM OF NOTE</w:t>
            </w:r>
          </w:p>
        </w:tc>
        <w:tc>
          <w:tcPr>
            <w:tcW w:w="800" w:type="dxa"/>
            <w:vAlign w:val="bottom"/>
          </w:tcPr>
          <w:p>
            <w:pPr>
              <w:spacing w:after="0"/>
              <w:rPr>
                <w:sz w:val="24"/>
                <w:szCs w:val="24"/>
                <w:color w:val="auto"/>
              </w:rPr>
            </w:pP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Exhibit B</w:t>
            </w:r>
          </w:p>
        </w:tc>
        <w:tc>
          <w:tcPr>
            <w:tcW w:w="88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FORM OF CERTIFICATE OF TRANSFER</w:t>
            </w:r>
          </w:p>
        </w:tc>
        <w:tc>
          <w:tcPr>
            <w:tcW w:w="800" w:type="dxa"/>
            <w:vAlign w:val="bottom"/>
          </w:tcPr>
          <w:p>
            <w:pPr>
              <w:spacing w:after="0"/>
              <w:rPr>
                <w:sz w:val="20"/>
                <w:szCs w:val="20"/>
                <w:color w:val="auto"/>
              </w:rPr>
            </w:pP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Exhibit C</w:t>
            </w:r>
          </w:p>
        </w:tc>
        <w:tc>
          <w:tcPr>
            <w:tcW w:w="88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FORM OF CERTIFICATE OF EXCHANGE</w:t>
            </w:r>
          </w:p>
        </w:tc>
        <w:tc>
          <w:tcPr>
            <w:tcW w:w="800" w:type="dxa"/>
            <w:vAlign w:val="bottom"/>
          </w:tcPr>
          <w:p>
            <w:pPr>
              <w:spacing w:after="0"/>
              <w:rPr>
                <w:sz w:val="20"/>
                <w:szCs w:val="20"/>
                <w:color w:val="auto"/>
              </w:rPr>
            </w:pP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Exhibit D</w:t>
            </w:r>
          </w:p>
        </w:tc>
        <w:tc>
          <w:tcPr>
            <w:tcW w:w="88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FORM OF CERTIFICATE FROM ACQUIRING INSTITUTIONAL ACCREDITED INVESTOR</w:t>
            </w:r>
          </w:p>
        </w:tc>
        <w:tc>
          <w:tcPr>
            <w:tcW w:w="800" w:type="dxa"/>
            <w:vAlign w:val="bottom"/>
          </w:tcPr>
          <w:p>
            <w:pPr>
              <w:spacing w:after="0"/>
              <w:rPr>
                <w:sz w:val="20"/>
                <w:szCs w:val="20"/>
                <w:color w:val="auto"/>
              </w:rPr>
            </w:pPr>
          </w:p>
        </w:tc>
      </w:t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Exhibit E</w:t>
            </w:r>
          </w:p>
        </w:tc>
        <w:tc>
          <w:tcPr>
            <w:tcW w:w="88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FORM OF SUPPLEMENTAL INDENTURE TO BE DELIVERED BY SUBSEQUENT GUARANTORS</w:t>
            </w:r>
          </w:p>
        </w:tc>
        <w:tc>
          <w:tcPr>
            <w:tcW w:w="8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220"/>
          </w:cols>
          <w:pgMar w:left="340" w:top="1387" w:right="339" w:bottom="1440" w:gutter="0" w:footer="0" w:header="0"/>
        </w:sectPr>
      </w:pPr>
    </w:p>
    <w:bookmarkStart w:id="13" w:name="page14"/>
    <w:bookmarkEnd w:id="13"/>
    <w:p>
      <w:pPr>
        <w:spacing w:after="0" w:line="146" w:lineRule="exact"/>
        <w:rPr>
          <w:sz w:val="20"/>
          <w:szCs w:val="20"/>
          <w:color w:val="auto"/>
        </w:rPr>
      </w:pPr>
    </w:p>
    <w:p>
      <w:pPr>
        <w:ind w:right="520" w:firstLine="636"/>
        <w:spacing w:after="0" w:line="273" w:lineRule="auto"/>
        <w:rPr>
          <w:sz w:val="20"/>
          <w:szCs w:val="20"/>
          <w:color w:val="auto"/>
        </w:rPr>
      </w:pPr>
      <w:r>
        <w:rPr>
          <w:rFonts w:ascii="Times New Roman" w:cs="Times New Roman" w:eastAsia="Times New Roman" w:hAnsi="Times New Roman"/>
          <w:sz w:val="19"/>
          <w:szCs w:val="19"/>
          <w:color w:val="auto"/>
        </w:rPr>
        <w:t>INDENTURE dated as of January 20, 2021 among California Resources Corporation, a Delaware corporation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the Guarantors (as defined) and Wilmington Trust, National Association, as trustee (the “</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Issuer, the Guarantors and the Trustee agree as follows for the benefit of each other and for the equal and ratable benefit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Holders (as defined) of the 7.125% Senior Notes due 2026 (as further defined herein, the “</w:t>
      </w: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ARTICLE 1</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DEFINITIONS AND INCORPORATION</w:t>
      </w:r>
    </w:p>
    <w:p>
      <w:pPr>
        <w:jc w:val="center"/>
        <w:ind w:right="-79"/>
        <w:spacing w:after="0"/>
        <w:rPr>
          <w:sz w:val="20"/>
          <w:szCs w:val="20"/>
          <w:color w:val="auto"/>
        </w:rPr>
      </w:pPr>
      <w:r>
        <w:rPr>
          <w:rFonts w:ascii="Times New Roman" w:cs="Times New Roman" w:eastAsia="Times New Roman" w:hAnsi="Times New Roman"/>
          <w:sz w:val="19"/>
          <w:szCs w:val="19"/>
          <w:color w:val="auto"/>
        </w:rPr>
        <w:t>BY REFERENCE</w:t>
      </w:r>
    </w:p>
    <w:p>
      <w:pPr>
        <w:spacing w:after="0" w:line="16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i w:val="1"/>
          <w:iCs w:val="1"/>
          <w:color w:val="auto"/>
        </w:rPr>
        <w:t>Definitions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144A Global Note</w:t>
      </w:r>
      <w:r>
        <w:rPr>
          <w:rFonts w:ascii="Times New Roman" w:cs="Times New Roman" w:eastAsia="Times New Roman" w:hAnsi="Times New Roman"/>
          <w:sz w:val="19"/>
          <w:szCs w:val="19"/>
          <w:color w:val="auto"/>
        </w:rPr>
        <w:t xml:space="preserve">” means a Global Note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initially sold in reliance on Rule 144A.</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Acquired Debt</w:t>
      </w:r>
      <w:r>
        <w:rPr>
          <w:rFonts w:ascii="Times New Roman" w:cs="Times New Roman" w:eastAsia="Times New Roman" w:hAnsi="Times New Roman"/>
          <w:sz w:val="19"/>
          <w:szCs w:val="19"/>
          <w:color w:val="auto"/>
        </w:rPr>
        <w:t>” means, with respect to any specified Person:</w:t>
      </w:r>
    </w:p>
    <w:p>
      <w:pPr>
        <w:spacing w:after="0" w:line="194" w:lineRule="exact"/>
        <w:rPr>
          <w:sz w:val="20"/>
          <w:szCs w:val="20"/>
          <w:color w:val="auto"/>
        </w:rPr>
      </w:pPr>
    </w:p>
    <w:p>
      <w:pPr>
        <w:ind w:left="640" w:right="80" w:firstLine="638"/>
        <w:spacing w:after="0" w:line="251" w:lineRule="auto"/>
        <w:tabs>
          <w:tab w:leader="none" w:pos="1697"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36"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secured by a Lien encumbering any asset acquired by such specified Person.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Additional Assets</w:t>
      </w:r>
      <w:r>
        <w:rPr>
          <w:rFonts w:ascii="Times New Roman" w:cs="Times New Roman" w:eastAsia="Times New Roman" w:hAnsi="Times New Roman"/>
          <w:sz w:val="19"/>
          <w:szCs w:val="19"/>
          <w:color w:val="auto"/>
        </w:rPr>
        <w:t>” means:</w:t>
      </w:r>
    </w:p>
    <w:p>
      <w:pPr>
        <w:spacing w:after="0" w:line="194" w:lineRule="exact"/>
        <w:rPr>
          <w:sz w:val="20"/>
          <w:szCs w:val="20"/>
          <w:color w:val="auto"/>
        </w:rPr>
      </w:pPr>
    </w:p>
    <w:p>
      <w:pPr>
        <w:ind w:left="1700" w:hanging="422"/>
        <w:spacing w:after="0"/>
        <w:tabs>
          <w:tab w:leader="none" w:pos="1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assets used or useful in the Oil and Gas Business, other than Indebtedness or Capital Stock;</w:t>
      </w:r>
    </w:p>
    <w:p>
      <w:pPr>
        <w:spacing w:after="0" w:line="179" w:lineRule="exact"/>
        <w:rPr>
          <w:rFonts w:ascii="Times New Roman" w:cs="Times New Roman" w:eastAsia="Times New Roman" w:hAnsi="Times New Roman"/>
          <w:sz w:val="19"/>
          <w:szCs w:val="19"/>
          <w:color w:val="auto"/>
        </w:rPr>
      </w:pPr>
    </w:p>
    <w:p>
      <w:pPr>
        <w:ind w:left="640" w:right="100" w:firstLine="638"/>
        <w:spacing w:after="0" w:line="270" w:lineRule="auto"/>
        <w:tabs>
          <w:tab w:leader="none" w:pos="169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Stock of a Person that becomes a Restricted Subsidiary as a result of the acquisition of such Capital Stock by the Issuer or any of its Restricted Subsidiaries; or</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Stock constituting a minority interest in any Person that at such time is a Restricted Subsidiary;</w:t>
      </w:r>
    </w:p>
    <w:p>
      <w:pPr>
        <w:spacing w:after="0" w:line="190" w:lineRule="exact"/>
        <w:rPr>
          <w:sz w:val="20"/>
          <w:szCs w:val="20"/>
          <w:color w:val="auto"/>
        </w:rPr>
      </w:pPr>
    </w:p>
    <w:p>
      <w:pPr>
        <w:ind w:left="640" w:right="340"/>
        <w:spacing w:after="0" w:line="273"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any such Restricted Subsidiary described in clause (2) or (3) above is primarily engaged in the Oil and Gas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w:t>
      </w:r>
    </w:p>
    <w:p>
      <w:pPr>
        <w:spacing w:after="0" w:line="112" w:lineRule="exact"/>
        <w:rPr>
          <w:sz w:val="20"/>
          <w:szCs w:val="20"/>
          <w:color w:val="auto"/>
        </w:rPr>
      </w:pPr>
    </w:p>
    <w:p>
      <w:pPr>
        <w:ind w:right="10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Additional Notes</w:t>
      </w:r>
      <w:r>
        <w:rPr>
          <w:rFonts w:ascii="Times New Roman" w:cs="Times New Roman" w:eastAsia="Times New Roman" w:hAnsi="Times New Roman"/>
          <w:sz w:val="19"/>
          <w:szCs w:val="19"/>
          <w:color w:val="auto"/>
        </w:rPr>
        <w:t>” means additional Notes (other than the Initial Notes) issued under this Indenture in accordance with Sections 2.02, 2.13 and 4.09, as part of the same series as the Initial Notes.</w:t>
      </w:r>
    </w:p>
    <w:p>
      <w:pPr>
        <w:spacing w:after="0" w:line="126" w:lineRule="exact"/>
        <w:rPr>
          <w:sz w:val="20"/>
          <w:szCs w:val="20"/>
          <w:color w:val="auto"/>
        </w:rPr>
      </w:pPr>
    </w:p>
    <w:p>
      <w:pPr>
        <w:ind w:left="640" w:right="2260"/>
        <w:spacing w:after="0" w:line="49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Consolidated Net Tangible Assets</w:t>
      </w:r>
      <w:r>
        <w:rPr>
          <w:rFonts w:ascii="Times New Roman" w:cs="Times New Roman" w:eastAsia="Times New Roman" w:hAnsi="Times New Roman"/>
          <w:sz w:val="19"/>
          <w:szCs w:val="19"/>
          <w:color w:val="auto"/>
        </w:rPr>
        <w:t>” means (without duplication), as of the date of determination, (a) the sum of:</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160"/>
          </w:cols>
          <w:pgMar w:left="320" w:top="1440" w:right="419" w:bottom="1440" w:gutter="0" w:footer="0" w:header="0"/>
        </w:sectPr>
      </w:pPr>
    </w:p>
    <w:bookmarkStart w:id="14" w:name="page15"/>
    <w:bookmarkEnd w:id="14"/>
    <w:p>
      <w:pPr>
        <w:spacing w:after="0" w:line="148" w:lineRule="exact"/>
        <w:rPr>
          <w:sz w:val="20"/>
          <w:szCs w:val="20"/>
          <w:color w:val="auto"/>
        </w:rPr>
      </w:pPr>
    </w:p>
    <w:p>
      <w:pPr>
        <w:ind w:left="800" w:hanging="642"/>
        <w:spacing w:after="0" w:line="239" w:lineRule="auto"/>
        <w:tabs>
          <w:tab w:leader="none" w:pos="541"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discounted future net revenues from proved oil and natural gas reserves of the Issuer and its Restricted Subsidiaries calculated in accordance with SEC guidelines before any state or federal income taxes, as estimated in a reserve report prepared as of the end of either the Issuer’s most recently completed fiscal year (or, if such date of determination is within 45 days after the end of such most recently completed fiscal year and no reserve report as of the end of such fiscal year has at the time been prepared, the Issuer’s second preceding fiscal year) or, at the Issuer’s option, the Issuer’s most recently completed fiscal quarter for which internal financial statements are available, as </w:t>
      </w:r>
      <w:r>
        <w:rPr>
          <w:rFonts w:ascii="Times New Roman" w:cs="Times New Roman" w:eastAsia="Times New Roman" w:hAnsi="Times New Roman"/>
          <w:sz w:val="19"/>
          <w:szCs w:val="19"/>
          <w:i w:val="1"/>
          <w:iCs w:val="1"/>
          <w:color w:val="auto"/>
        </w:rPr>
        <w:t>increased by</w:t>
      </w:r>
      <w:r>
        <w:rPr>
          <w:rFonts w:ascii="Times New Roman" w:cs="Times New Roman" w:eastAsia="Times New Roman" w:hAnsi="Times New Roman"/>
          <w:sz w:val="19"/>
          <w:szCs w:val="19"/>
          <w:color w:val="auto"/>
        </w:rPr>
        <w:t>, as of the date of determination, the estimated discounted future net revenues calculated in accordance with SEC guidelines from:</w:t>
      </w:r>
    </w:p>
    <w:p>
      <w:pPr>
        <w:spacing w:after="0" w:line="146" w:lineRule="exact"/>
        <w:rPr>
          <w:rFonts w:ascii="Times New Roman" w:cs="Times New Roman" w:eastAsia="Times New Roman" w:hAnsi="Times New Roman"/>
          <w:sz w:val="19"/>
          <w:szCs w:val="19"/>
          <w:color w:val="auto"/>
        </w:rPr>
      </w:pPr>
    </w:p>
    <w:p>
      <w:pPr>
        <w:ind w:left="1440" w:right="140" w:hanging="646"/>
        <w:spacing w:after="0" w:line="270" w:lineRule="auto"/>
        <w:tabs>
          <w:tab w:leader="none" w:pos="1268"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estimated proved oil and natural gas reserves of the Issuer and its Restricted Subsidiaries acquired since the date of such year-end or quarterly reserve report, and</w:t>
      </w:r>
    </w:p>
    <w:p>
      <w:pPr>
        <w:spacing w:after="0" w:line="131" w:lineRule="exact"/>
        <w:rPr>
          <w:rFonts w:ascii="Times New Roman" w:cs="Times New Roman" w:eastAsia="Times New Roman" w:hAnsi="Times New Roman"/>
          <w:sz w:val="19"/>
          <w:szCs w:val="19"/>
          <w:color w:val="auto"/>
        </w:rPr>
      </w:pPr>
    </w:p>
    <w:p>
      <w:pPr>
        <w:ind w:left="1440" w:right="400" w:hanging="646"/>
        <w:spacing w:after="0"/>
        <w:tabs>
          <w:tab w:leader="none" w:pos="1257"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estimated proved oil and natural gas reserves of the Issuer and its Restricted Subsidiaries attributable to extensions, discoveries and other additions and upward revisions of estimates of proved oil and natural gas reserves (including previously estimated development costs incurred during the period and the accretion of discount since the prior period end) since the date of such year-end or quarterly reserve report due to exploration, development or exploitation, production or other activities which would, in accordance with standard industry practice, cause such revisions,</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i w:val="1"/>
          <w:iCs w:val="1"/>
          <w:color w:val="auto"/>
        </w:rPr>
        <w:t>decreased by</w:t>
      </w:r>
      <w:r>
        <w:rPr>
          <w:rFonts w:ascii="Times New Roman" w:cs="Times New Roman" w:eastAsia="Times New Roman" w:hAnsi="Times New Roman"/>
          <w:sz w:val="19"/>
          <w:szCs w:val="19"/>
          <w:color w:val="auto"/>
        </w:rPr>
        <w:t>, as of the date of determination, the estimated discounted future net revenue attributable to:</w:t>
      </w:r>
    </w:p>
    <w:p>
      <w:pPr>
        <w:spacing w:after="0" w:line="181" w:lineRule="exact"/>
        <w:rPr>
          <w:sz w:val="20"/>
          <w:szCs w:val="20"/>
          <w:color w:val="auto"/>
        </w:rPr>
      </w:pPr>
    </w:p>
    <w:p>
      <w:pPr>
        <w:ind w:left="1440" w:right="40" w:hanging="646"/>
        <w:spacing w:after="0" w:line="270" w:lineRule="auto"/>
        <w:tabs>
          <w:tab w:leader="none" w:pos="125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estimated proved oil and natural gas reserves of the Issuer and its Restricted Subsidiaries reflected in such reserve report produced or disposed of since the date of such year-end or quarterly reserve report, and</w:t>
      </w:r>
    </w:p>
    <w:p>
      <w:pPr>
        <w:spacing w:after="0" w:line="131" w:lineRule="exact"/>
        <w:rPr>
          <w:rFonts w:ascii="Times New Roman" w:cs="Times New Roman" w:eastAsia="Times New Roman" w:hAnsi="Times New Roman"/>
          <w:sz w:val="19"/>
          <w:szCs w:val="19"/>
          <w:color w:val="auto"/>
        </w:rPr>
      </w:pPr>
    </w:p>
    <w:p>
      <w:pPr>
        <w:ind w:left="1440" w:right="180" w:hanging="646"/>
        <w:spacing w:after="0" w:line="245" w:lineRule="auto"/>
        <w:tabs>
          <w:tab w:leader="none" w:pos="126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reductions in estimated proved oil and natural gas reserves of the Issuer and its Restricted Subsidiaries reflected in such reserve report attributable to downward revisions of estimates of proved oil and natural gas reserves since such year-end or quarterly reserve report due to changes in geological conditions or other factors which would, in accordance with standard industry practice, cause such revisions;</w:t>
      </w:r>
    </w:p>
    <w:p>
      <w:pPr>
        <w:spacing w:after="0" w:line="155" w:lineRule="exact"/>
        <w:rPr>
          <w:sz w:val="20"/>
          <w:szCs w:val="20"/>
          <w:color w:val="auto"/>
        </w:rPr>
      </w:pPr>
    </w:p>
    <w:p>
      <w:pPr>
        <w:ind w:left="800" w:right="40"/>
        <w:spacing w:after="0" w:line="245" w:lineRule="auto"/>
        <w:rPr>
          <w:sz w:val="20"/>
          <w:szCs w:val="20"/>
          <w:color w:val="auto"/>
        </w:rPr>
      </w:pPr>
      <w:r>
        <w:rPr>
          <w:rFonts w:ascii="Times New Roman" w:cs="Times New Roman" w:eastAsia="Times New Roman" w:hAnsi="Times New Roman"/>
          <w:sz w:val="19"/>
          <w:szCs w:val="19"/>
          <w:color w:val="auto"/>
        </w:rPr>
        <w:t>in the case of the preceding clauses (A) through (D), calculated on a pre-tax basis in accordance with SEC guidelines (utilizing the prices utilized in the Issuer’s year-end or quarterly reserve report, as applicable) and estimated by the Issuer’s petroleum engineers or, at the Issuer’s election, any independent petroleum engineers engaged by the Issuer for that purpose;</w:t>
      </w:r>
    </w:p>
    <w:p>
      <w:pPr>
        <w:spacing w:after="0" w:line="141" w:lineRule="exact"/>
        <w:rPr>
          <w:sz w:val="20"/>
          <w:szCs w:val="20"/>
          <w:color w:val="auto"/>
        </w:rPr>
      </w:pPr>
    </w:p>
    <w:p>
      <w:pPr>
        <w:ind w:left="800" w:right="20" w:hanging="642"/>
        <w:spacing w:after="0" w:line="245" w:lineRule="auto"/>
        <w:tabs>
          <w:tab w:leader="none" w:pos="595"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capitalized costs that are attributable to oil and natural gas properties of the Issuer and its Restricted Subsidiaries to which no proved oil and natural gas reserves are attributable, based on the Issuer’s books and records as of a date no earlier than the last day of the Issuer’s most recent quarterly or annual period for which internal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20"/>
          </w:cols>
          <w:pgMar w:left="1440" w:top="1440" w:right="339" w:bottom="1440" w:gutter="0" w:footer="0" w:header="0"/>
        </w:sectPr>
      </w:pPr>
    </w:p>
    <w:bookmarkStart w:id="15" w:name="page16"/>
    <w:bookmarkEnd w:id="15"/>
    <w:p>
      <w:pPr>
        <w:spacing w:after="0" w:line="148" w:lineRule="exact"/>
        <w:rPr>
          <w:sz w:val="20"/>
          <w:szCs w:val="20"/>
          <w:color w:val="auto"/>
        </w:rPr>
      </w:pPr>
    </w:p>
    <w:p>
      <w:pPr>
        <w:ind w:left="1920" w:right="80" w:hanging="642"/>
        <w:spacing w:after="0" w:line="270" w:lineRule="auto"/>
        <w:tabs>
          <w:tab w:leader="none" w:pos="176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Net Working Capital of the Issuer and its Restricted Subsidiaries as of a date no earlier than the last day of the Issuer’s most recent quarterly or annual period for which internal financial statements are available; and</w:t>
      </w:r>
    </w:p>
    <w:p>
      <w:pPr>
        <w:spacing w:after="0" w:line="117" w:lineRule="exact"/>
        <w:rPr>
          <w:rFonts w:ascii="Times New Roman" w:cs="Times New Roman" w:eastAsia="Times New Roman" w:hAnsi="Times New Roman"/>
          <w:sz w:val="19"/>
          <w:szCs w:val="19"/>
          <w:color w:val="auto"/>
        </w:rPr>
      </w:pPr>
    </w:p>
    <w:p>
      <w:pPr>
        <w:ind w:left="1760" w:hanging="482"/>
        <w:spacing w:after="0"/>
        <w:tabs>
          <w:tab w:leader="none" w:pos="17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greater of:</w:t>
      </w:r>
    </w:p>
    <w:p>
      <w:pPr>
        <w:spacing w:after="0" w:line="192" w:lineRule="exact"/>
        <w:rPr>
          <w:rFonts w:ascii="Times New Roman" w:cs="Times New Roman" w:eastAsia="Times New Roman" w:hAnsi="Times New Roman"/>
          <w:sz w:val="19"/>
          <w:szCs w:val="19"/>
          <w:color w:val="auto"/>
        </w:rPr>
      </w:pPr>
    </w:p>
    <w:p>
      <w:pPr>
        <w:ind w:left="2380" w:hanging="466"/>
        <w:spacing w:after="0"/>
        <w:tabs>
          <w:tab w:leader="none" w:pos="2380"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book value and</w:t>
      </w:r>
    </w:p>
    <w:p>
      <w:pPr>
        <w:spacing w:after="0" w:line="192" w:lineRule="exact"/>
        <w:rPr>
          <w:rFonts w:ascii="Times New Roman" w:cs="Times New Roman" w:eastAsia="Times New Roman" w:hAnsi="Times New Roman"/>
          <w:sz w:val="19"/>
          <w:szCs w:val="19"/>
          <w:color w:val="auto"/>
        </w:rPr>
      </w:pPr>
    </w:p>
    <w:p>
      <w:pPr>
        <w:ind w:left="2560" w:right="340" w:hanging="646"/>
        <w:spacing w:after="0" w:line="270" w:lineRule="auto"/>
        <w:tabs>
          <w:tab w:leader="none" w:pos="2377"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appraised value, as estimated by independent appraisers, of other tangible assets (including Investments in unconsolidated Subsidiaries)</w:t>
      </w:r>
    </w:p>
    <w:p>
      <w:pPr>
        <w:spacing w:after="0" w:line="118" w:lineRule="exact"/>
        <w:rPr>
          <w:sz w:val="20"/>
          <w:szCs w:val="20"/>
          <w:color w:val="auto"/>
        </w:rPr>
      </w:pPr>
    </w:p>
    <w:p>
      <w:pPr>
        <w:ind w:left="1280"/>
        <w:spacing w:after="0" w:line="251" w:lineRule="auto"/>
        <w:rPr>
          <w:sz w:val="20"/>
          <w:szCs w:val="20"/>
          <w:color w:val="auto"/>
        </w:rPr>
      </w:pPr>
      <w:r>
        <w:rPr>
          <w:rFonts w:ascii="Times New Roman" w:cs="Times New Roman" w:eastAsia="Times New Roman" w:hAnsi="Times New Roman"/>
          <w:sz w:val="19"/>
          <w:szCs w:val="19"/>
          <w:color w:val="auto"/>
        </w:rPr>
        <w:t xml:space="preserve">in each case, of the Issuer and its Restricted Subsidiaries as of a date no earlier than the last day of the date of the Issuer’s most recent quarterly or annual period for which internal financial statements are available;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no such appraisal has been performed, the Issuer shall not be required to obtain such an appraisal and only clause (iv)(A) of this definition shall apply,</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to the extent not otherwise taken into account in the immediately preceding clause (a),</w:t>
      </w:r>
    </w:p>
    <w:p>
      <w:pPr>
        <w:spacing w:after="0" w:line="194" w:lineRule="exact"/>
        <w:rPr>
          <w:sz w:val="20"/>
          <w:szCs w:val="20"/>
          <w:color w:val="auto"/>
        </w:rPr>
      </w:pPr>
    </w:p>
    <w:p>
      <w:pPr>
        <w:ind w:left="1060" w:hanging="418"/>
        <w:spacing w:after="0"/>
        <w:tabs>
          <w:tab w:leader="none" w:pos="10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w:t>
      </w:r>
    </w:p>
    <w:p>
      <w:pPr>
        <w:spacing w:after="0" w:line="179"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minority interests;</w:t>
      </w:r>
    </w:p>
    <w:p>
      <w:pPr>
        <w:spacing w:after="0" w:line="192" w:lineRule="exact"/>
        <w:rPr>
          <w:rFonts w:ascii="Times New Roman" w:cs="Times New Roman" w:eastAsia="Times New Roman" w:hAnsi="Times New Roman"/>
          <w:sz w:val="19"/>
          <w:szCs w:val="19"/>
          <w:color w:val="auto"/>
        </w:rPr>
      </w:pPr>
    </w:p>
    <w:p>
      <w:pPr>
        <w:ind w:left="1920" w:right="20" w:hanging="642"/>
        <w:spacing w:after="0" w:line="245" w:lineRule="auto"/>
        <w:tabs>
          <w:tab w:leader="none" w:pos="1715"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natural gas balancing liabilities of the Issuer and its Restricted Subsidiaries as of the last day of the Issuer’s most recent annual or quarterly period for which internal financial statements are available to the extent not deducted in calculating Consolidated Net Working Capital of the Issuer and its Restricted Subsidiaries in accordance with clause (a) (iii) of this definition;</w:t>
      </w:r>
    </w:p>
    <w:p>
      <w:pPr>
        <w:spacing w:after="0" w:line="154" w:lineRule="exact"/>
        <w:rPr>
          <w:rFonts w:ascii="Times New Roman" w:cs="Times New Roman" w:eastAsia="Times New Roman" w:hAnsi="Times New Roman"/>
          <w:sz w:val="19"/>
          <w:szCs w:val="19"/>
          <w:color w:val="auto"/>
        </w:rPr>
      </w:pPr>
    </w:p>
    <w:p>
      <w:pPr>
        <w:ind w:left="1920" w:right="120" w:hanging="642"/>
        <w:spacing w:after="0" w:line="245" w:lineRule="auto"/>
        <w:tabs>
          <w:tab w:leader="none" w:pos="176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included in clause (a)(i) above, the discounted future net revenues, calculated in accordance with SEC guidelines (utilizing the prices utilized in the Issuer’s year-end or quarterly reserve report), attributable to reserves that are required to be delivered to third parties to fully satisfy the obligations of the Issuer and its Restricted Subsidiaries with respect to Volumetric Production Payments on the schedules specified with respect thereto; and</w:t>
      </w:r>
    </w:p>
    <w:p>
      <w:pPr>
        <w:spacing w:after="0" w:line="141" w:lineRule="exact"/>
        <w:rPr>
          <w:rFonts w:ascii="Times New Roman" w:cs="Times New Roman" w:eastAsia="Times New Roman" w:hAnsi="Times New Roman"/>
          <w:sz w:val="19"/>
          <w:szCs w:val="19"/>
          <w:color w:val="auto"/>
        </w:rPr>
      </w:pPr>
    </w:p>
    <w:p>
      <w:pPr>
        <w:ind w:left="1920" w:right="40" w:hanging="642"/>
        <w:spacing w:after="0" w:line="242" w:lineRule="auto"/>
        <w:tabs>
          <w:tab w:leader="none" w:pos="175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discounted future net revenues, calculated in accordance with SEC guidelines, attributable to reserves subject to Dollar-Denominated Production Payments that, based on the estimates of production and price assumptions included in determining the discounted future net revenues specified in clause (a)(i) above, would be necessary to fully satisfy the payment obligations of the Issuer and its Restricted Subsidiaries with respect to Dollar-Denominated Production Payments on the schedules specified with respect thereto.</w:t>
      </w:r>
    </w:p>
    <w:p>
      <w:pPr>
        <w:spacing w:after="0" w:line="157" w:lineRule="exact"/>
        <w:rPr>
          <w:sz w:val="20"/>
          <w:szCs w:val="20"/>
          <w:color w:val="auto"/>
        </w:rPr>
      </w:pPr>
    </w:p>
    <w:p>
      <w:pPr>
        <w:jc w:val="both"/>
        <w:ind w:right="400" w:firstLine="636"/>
        <w:spacing w:after="0" w:line="251" w:lineRule="auto"/>
        <w:rPr>
          <w:sz w:val="20"/>
          <w:szCs w:val="20"/>
          <w:color w:val="auto"/>
        </w:rPr>
      </w:pPr>
      <w:r>
        <w:rPr>
          <w:rFonts w:ascii="Times New Roman" w:cs="Times New Roman" w:eastAsia="Times New Roman" w:hAnsi="Times New Roman"/>
          <w:sz w:val="19"/>
          <w:szCs w:val="19"/>
          <w:color w:val="auto"/>
        </w:rPr>
        <w:t>If the Issuer changes its method of accounting from the successful efforts method of accounting to the full cost or a similar method, “Adjusted Consolidated Net Tangible Assets” will continue to be calculated as if the Issuer were still using the successful efforts method of accounting.</w:t>
      </w:r>
    </w:p>
    <w:p>
      <w:pPr>
        <w:spacing w:after="0" w:line="147" w:lineRule="exact"/>
        <w:rPr>
          <w:sz w:val="20"/>
          <w:szCs w:val="20"/>
          <w:color w:val="auto"/>
        </w:rPr>
      </w:pPr>
    </w:p>
    <w:p>
      <w:pPr>
        <w:ind w:right="16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8"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19"/>
          <w:szCs w:val="19"/>
          <w:color w:val="auto"/>
        </w:rPr>
        <w:t>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Agent</w:t>
      </w:r>
      <w:r>
        <w:rPr>
          <w:rFonts w:ascii="Times New Roman" w:cs="Times New Roman" w:eastAsia="Times New Roman" w:hAnsi="Times New Roman"/>
          <w:sz w:val="19"/>
          <w:szCs w:val="19"/>
          <w:color w:val="auto"/>
        </w:rPr>
        <w:t>” means any Registrar or Paying Agent.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Premium</w:t>
      </w:r>
      <w:r>
        <w:rPr>
          <w:rFonts w:ascii="Times New Roman" w:cs="Times New Roman" w:eastAsia="Times New Roman" w:hAnsi="Times New Roman"/>
          <w:sz w:val="19"/>
          <w:szCs w:val="19"/>
          <w:color w:val="auto"/>
        </w:rPr>
        <w:t>” means, with respect to any Note on any redemption date, the greater of:</w:t>
      </w:r>
    </w:p>
    <w:p>
      <w:pPr>
        <w:spacing w:after="0" w:line="194" w:lineRule="exact"/>
        <w:rPr>
          <w:sz w:val="20"/>
          <w:szCs w:val="20"/>
          <w:color w:val="auto"/>
        </w:rPr>
      </w:pPr>
    </w:p>
    <w:p>
      <w:pPr>
        <w:ind w:left="1700" w:hanging="422"/>
        <w:spacing w:after="0"/>
        <w:tabs>
          <w:tab w:leader="none" w:pos="1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 of the principal amount of the Note; and</w:t>
      </w:r>
    </w:p>
    <w:p>
      <w:pPr>
        <w:spacing w:after="0" w:line="17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excess of:</w:t>
      </w:r>
    </w:p>
    <w:p>
      <w:pPr>
        <w:spacing w:after="0" w:line="192" w:lineRule="exact"/>
        <w:rPr>
          <w:rFonts w:ascii="Times New Roman" w:cs="Times New Roman" w:eastAsia="Times New Roman" w:hAnsi="Times New Roman"/>
          <w:sz w:val="19"/>
          <w:szCs w:val="19"/>
          <w:color w:val="auto"/>
        </w:rPr>
      </w:pPr>
    </w:p>
    <w:p>
      <w:pPr>
        <w:ind w:left="1280" w:right="120" w:firstLine="634"/>
        <w:spacing w:after="0" w:line="242" w:lineRule="auto"/>
        <w:tabs>
          <w:tab w:leader="none" w:pos="2326"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value at such redemption date of (i) the redemption price of the Note at February 1, 2023 (such redemption price being set forth in the table appearing in Section 3.07(d)) plus (ii) all required interest payments due on the Note through February 1, 2023 (in each case, excluding accrued but unpaid interest to the redemption date), computed using a discount rate equal to the Treasury Rate as of such redemption date plus 50 basis points discounted to the redemption date on a semi-annual basis (assuming a 360-day year consisting of twelve 30-day months), over</w:t>
      </w:r>
    </w:p>
    <w:p>
      <w:pPr>
        <w:spacing w:after="0" w:line="157"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the Note.</w:t>
      </w:r>
    </w:p>
    <w:p>
      <w:pPr>
        <w:spacing w:after="0" w:line="177" w:lineRule="exact"/>
        <w:rPr>
          <w:sz w:val="20"/>
          <w:szCs w:val="20"/>
          <w:color w:val="auto"/>
        </w:rPr>
      </w:pPr>
    </w:p>
    <w:p>
      <w:pPr>
        <w:ind w:right="8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Procedures</w:t>
      </w:r>
      <w:r>
        <w:rPr>
          <w:rFonts w:ascii="Times New Roman" w:cs="Times New Roman" w:eastAsia="Times New Roman" w:hAnsi="Times New Roman"/>
          <w:sz w:val="19"/>
          <w:szCs w:val="19"/>
          <w:color w:val="auto"/>
        </w:rPr>
        <w:t>” means, with respect to any transfer or exchange of or for beneficial interests in any Global Note, the rules and procedures of the Depositary, Euroclear and Clearstream that apply to such transfer or exchange.</w:t>
      </w:r>
    </w:p>
    <w:p>
      <w:pPr>
        <w:spacing w:after="0" w:line="126" w:lineRule="exact"/>
        <w:rPr>
          <w:sz w:val="20"/>
          <w:szCs w:val="20"/>
          <w:color w:val="auto"/>
        </w:rPr>
      </w:pPr>
    </w:p>
    <w:p>
      <w:pPr>
        <w:ind w:right="12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 determined in good faith by the Issuer</w:t>
      </w:r>
      <w:r>
        <w:rPr>
          <w:rFonts w:ascii="Times New Roman" w:cs="Times New Roman" w:eastAsia="Times New Roman" w:hAnsi="Times New Roman"/>
          <w:sz w:val="19"/>
          <w:szCs w:val="19"/>
          <w:color w:val="auto"/>
        </w:rPr>
        <w:t>” means a determination made in good faith by the Board of Directors of the Issuer or any Officer of the Issuer involved in or otherwise familiar with the transaction for which such determination is being made, any such determination being conclusive for all purposes under this Indenture.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Asset Sale</w:t>
      </w:r>
      <w:r>
        <w:rPr>
          <w:rFonts w:ascii="Times New Roman" w:cs="Times New Roman" w:eastAsia="Times New Roman" w:hAnsi="Times New Roman"/>
          <w:sz w:val="19"/>
          <w:szCs w:val="19"/>
          <w:color w:val="auto"/>
        </w:rPr>
        <w:t>” means:</w:t>
      </w:r>
    </w:p>
    <w:p>
      <w:pPr>
        <w:spacing w:after="0" w:line="181" w:lineRule="exact"/>
        <w:rPr>
          <w:sz w:val="20"/>
          <w:szCs w:val="20"/>
          <w:color w:val="auto"/>
        </w:rPr>
      </w:pPr>
    </w:p>
    <w:p>
      <w:pPr>
        <w:ind w:left="640" w:firstLine="638"/>
        <w:spacing w:after="0" w:line="270" w:lineRule="auto"/>
        <w:tabs>
          <w:tab w:leader="none" w:pos="1697"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lease (other than operating leases entered into in the ordinary course of business), conveyance or other disposition of any assets or rights by the Issuer or any of the Issuer’s Restricted Subsidiaries; and</w:t>
      </w:r>
    </w:p>
    <w:p>
      <w:pPr>
        <w:spacing w:after="0" w:line="131" w:lineRule="exact"/>
        <w:rPr>
          <w:rFonts w:ascii="Times New Roman" w:cs="Times New Roman" w:eastAsia="Times New Roman" w:hAnsi="Times New Roman"/>
          <w:sz w:val="19"/>
          <w:szCs w:val="19"/>
          <w:color w:val="auto"/>
        </w:rPr>
      </w:pPr>
    </w:p>
    <w:p>
      <w:pPr>
        <w:ind w:left="640" w:right="40" w:firstLine="638"/>
        <w:spacing w:after="0" w:line="245" w:lineRule="auto"/>
        <w:tabs>
          <w:tab w:leader="none" w:pos="1697"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Equity Interests by any of the Issuer’s Restricted Subsidiaries or the sale by the Issuer or any of the Issuer’s Restricted Subsidiaries of Equity Interests in any of the Issuer’s Subsidiaries (in either case other than Preferred Stock of any Restricted Subsidiary issued in compliance with Section 4.09 and directors’ qualifying shares or shares required by applicable law to be held by a Person other than the Issuer or a Restricted Subsidiary),</w:t>
      </w:r>
    </w:p>
    <w:p>
      <w:pPr>
        <w:spacing w:after="0" w:line="153" w:lineRule="exact"/>
        <w:rPr>
          <w:sz w:val="20"/>
          <w:szCs w:val="20"/>
          <w:color w:val="auto"/>
        </w:rPr>
      </w:pPr>
    </w:p>
    <w:p>
      <w:pPr>
        <w:ind w:left="640" w:right="14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the case of (1) or (2), the sale, assignment, transfer, conveyance, lease or other disposition of all or substantially all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properties or assets of the Issuer and its Subsidiaries (including by way of a merger or consolidation) will be governed by Section 4.15 and/or by Section 5.01 and not by the provisions of Section 4.10;</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Notwithstanding the preceding, none of the following items will be deemed to be an Asset Sale: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8" w:lineRule="exact"/>
        <w:rPr>
          <w:sz w:val="20"/>
          <w:szCs w:val="20"/>
          <w:color w:val="auto"/>
        </w:rPr>
      </w:pPr>
    </w:p>
    <w:p>
      <w:pPr>
        <w:ind w:right="180" w:firstLine="638"/>
        <w:spacing w:after="0" w:line="270" w:lineRule="auto"/>
        <w:tabs>
          <w:tab w:leader="none" w:pos="105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single transaction or series of related transactions that involves assets or Equity Interests having a Fair Market Value of less than $20.0 million;</w:t>
      </w:r>
    </w:p>
    <w:p>
      <w:pPr>
        <w:spacing w:after="0" w:line="117"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transfer of assets between or among the Issuer and its Restricted Subsidiaries;</w:t>
      </w:r>
    </w:p>
    <w:p>
      <w:pPr>
        <w:spacing w:after="0" w:line="192"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issuance or sale of Equity Interests by a Restricted Subsidiary of the Issuer to the Issuer or to a Restricted Subsidiary of</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w:t>
      </w:r>
    </w:p>
    <w:p>
      <w:pPr>
        <w:spacing w:after="0" w:line="170" w:lineRule="exact"/>
        <w:rPr>
          <w:rFonts w:ascii="Times New Roman" w:cs="Times New Roman" w:eastAsia="Times New Roman" w:hAnsi="Times New Roman"/>
          <w:sz w:val="19"/>
          <w:szCs w:val="19"/>
          <w:color w:val="auto"/>
        </w:rPr>
      </w:pPr>
    </w:p>
    <w:p>
      <w:pPr>
        <w:jc w:val="both"/>
        <w:ind w:right="240" w:firstLine="638"/>
        <w:spacing w:after="0" w:line="245" w:lineRule="auto"/>
        <w:tabs>
          <w:tab w:leader="none" w:pos="105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lease or other disposition of products, services, inventory or accounts receivable in the ordinary course of business and any sale or other disposition of surplus, damaged, worn-out or obsolete assets (including the abandonment or other disposition of intellectual property that is, in the reasonable judgment of the Issuer, no longer economically practicable to maintain or useful in the conduct of the business of the Issuer and its Restricted Subsidiaries taken as whole);</w:t>
      </w:r>
    </w:p>
    <w:p>
      <w:pPr>
        <w:spacing w:after="0" w:line="141" w:lineRule="exact"/>
        <w:rPr>
          <w:rFonts w:ascii="Times New Roman" w:cs="Times New Roman" w:eastAsia="Times New Roman" w:hAnsi="Times New Roman"/>
          <w:sz w:val="19"/>
          <w:szCs w:val="19"/>
          <w:color w:val="auto"/>
        </w:rPr>
      </w:pPr>
    </w:p>
    <w:p>
      <w:pPr>
        <w:ind w:firstLine="638"/>
        <w:spacing w:after="0" w:line="270" w:lineRule="auto"/>
        <w:tabs>
          <w:tab w:leader="none" w:pos="105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abandonment, farm-out, lease or sublease of developed or undeveloped oil or natural gas properties, or the forfeiture of such properties, owned or held by the Issuer or any of its Restricted Subsidiaries in the ordinary course of business;</w:t>
      </w:r>
    </w:p>
    <w:p>
      <w:pPr>
        <w:spacing w:after="0" w:line="131" w:lineRule="exact"/>
        <w:rPr>
          <w:rFonts w:ascii="Times New Roman" w:cs="Times New Roman" w:eastAsia="Times New Roman" w:hAnsi="Times New Roman"/>
          <w:sz w:val="19"/>
          <w:szCs w:val="19"/>
          <w:color w:val="auto"/>
        </w:rPr>
      </w:pPr>
    </w:p>
    <w:p>
      <w:pPr>
        <w:ind w:right="560" w:firstLine="638"/>
        <w:spacing w:after="0" w:line="270" w:lineRule="auto"/>
        <w:tabs>
          <w:tab w:leader="none" w:pos="105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and sublicenses by the Issuer or any of its Restricted Subsidiaries of software, intellectual property or other general intangibles in the ordinary course of business;</w:t>
      </w:r>
    </w:p>
    <w:p>
      <w:pPr>
        <w:spacing w:after="0" w:line="131"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surrender or waiver of contract rights or settlement, release, recovery on or surrender of contract, tort or other claims;</w:t>
      </w:r>
    </w:p>
    <w:p>
      <w:pPr>
        <w:spacing w:after="0" w:line="179" w:lineRule="exact"/>
        <w:rPr>
          <w:rFonts w:ascii="Times New Roman" w:cs="Times New Roman" w:eastAsia="Times New Roman" w:hAnsi="Times New Roman"/>
          <w:sz w:val="19"/>
          <w:szCs w:val="19"/>
          <w:color w:val="auto"/>
        </w:rPr>
      </w:pPr>
    </w:p>
    <w:p>
      <w:pPr>
        <w:ind w:right="20" w:firstLine="638"/>
        <w:spacing w:after="0" w:line="270" w:lineRule="auto"/>
        <w:tabs>
          <w:tab w:leader="none" w:pos="105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granting, creation or incurrence of Liens not prohibited by Section 4.12 and dispositions in connection with such Liens and the exercise by any Person in whose favor such Lien is granted of any of its rights in respect of such Lien;</w:t>
      </w:r>
    </w:p>
    <w:p>
      <w:pPr>
        <w:spacing w:after="0" w:line="131"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or other disposition of cash or Cash Equivalents or other financial instruments (other than Oil and Gas Hedging</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Contracts);</w:t>
      </w:r>
    </w:p>
    <w:p>
      <w:pPr>
        <w:spacing w:after="0" w:line="170" w:lineRule="exact"/>
        <w:rPr>
          <w:rFonts w:ascii="Times New Roman" w:cs="Times New Roman" w:eastAsia="Times New Roman" w:hAnsi="Times New Roman"/>
          <w:sz w:val="19"/>
          <w:szCs w:val="19"/>
          <w:color w:val="auto"/>
        </w:rPr>
      </w:pPr>
    </w:p>
    <w:p>
      <w:pPr>
        <w:ind w:right="180" w:firstLine="638"/>
        <w:spacing w:after="0" w:line="270" w:lineRule="auto"/>
        <w:tabs>
          <w:tab w:leader="none" w:pos="115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disposition of assets that constitutes (or results in by virtue of the consideration received for such disposition) either a Restricted Payment that does not violate Section 4.07 or a Permitted Investment or a Permitted Payment;</w:t>
      </w:r>
    </w:p>
    <w:p>
      <w:pPr>
        <w:spacing w:after="0" w:line="117" w:lineRule="exact"/>
        <w:rPr>
          <w:rFonts w:ascii="Times New Roman" w:cs="Times New Roman" w:eastAsia="Times New Roman" w:hAnsi="Times New Roman"/>
          <w:sz w:val="19"/>
          <w:szCs w:val="19"/>
          <w:color w:val="auto"/>
        </w:rPr>
      </w:pPr>
    </w:p>
    <w:p>
      <w:pPr>
        <w:ind w:left="1140" w:hanging="502"/>
        <w:spacing w:after="0"/>
        <w:tabs>
          <w:tab w:leader="none" w:pos="114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sale or other disposition of Hydrocarbons or other mineral products in the ordinary course of business;</w:t>
      </w:r>
    </w:p>
    <w:p>
      <w:pPr>
        <w:spacing w:after="0" w:line="192"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Asset Swap;</w:t>
      </w:r>
    </w:p>
    <w:p>
      <w:pPr>
        <w:spacing w:after="0" w:line="190" w:lineRule="exact"/>
        <w:rPr>
          <w:rFonts w:ascii="Times New Roman" w:cs="Times New Roman" w:eastAsia="Times New Roman" w:hAnsi="Times New Roman"/>
          <w:sz w:val="19"/>
          <w:szCs w:val="19"/>
          <w:color w:val="auto"/>
        </w:rPr>
      </w:pPr>
    </w:p>
    <w:p>
      <w:pPr>
        <w:ind w:right="240" w:firstLine="638"/>
        <w:spacing w:after="0" w:line="273" w:lineRule="auto"/>
        <w:tabs>
          <w:tab w:leader="none" w:pos="115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crude oil and natural gas properties (whether or not in the ordinary course of business);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any such disposition such properties do not have associated with them any proved reserves;</w:t>
      </w:r>
    </w:p>
    <w:p>
      <w:pPr>
        <w:spacing w:after="0" w:line="112" w:lineRule="exact"/>
        <w:rPr>
          <w:rFonts w:ascii="Times New Roman" w:cs="Times New Roman" w:eastAsia="Times New Roman" w:hAnsi="Times New Roman"/>
          <w:sz w:val="19"/>
          <w:szCs w:val="19"/>
          <w:color w:val="auto"/>
        </w:rPr>
      </w:pPr>
    </w:p>
    <w:p>
      <w:pPr>
        <w:ind w:right="80" w:firstLine="638"/>
        <w:spacing w:after="0" w:line="246" w:lineRule="auto"/>
        <w:tabs>
          <w:tab w:leader="none" w:pos="115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Production Payments and Reserve Sales;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Production Payments and Reserve Sales, other than incentive compensation programs on terms that are customary in the Oil and Gas Business for geologists, geophysicists and other providers of technical services to the Issuer or a Restricted Subsidiary, shall have been created, incurred, issued, assumed or guaranteed in connection with the financing of, and within 60 days after the acquisition of, the property that is subject thereto;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600"/>
          </w:cols>
          <w:pgMar w:left="960" w:top="1440" w:right="339" w:bottom="1440" w:gutter="0" w:footer="0" w:header="0"/>
        </w:sectPr>
      </w:pPr>
    </w:p>
    <w:bookmarkStart w:id="18" w:name="page19"/>
    <w:bookmarkEnd w:id="18"/>
    <w:p>
      <w:pPr>
        <w:spacing w:after="0" w:line="148" w:lineRule="exact"/>
        <w:rPr>
          <w:sz w:val="20"/>
          <w:szCs w:val="20"/>
          <w:color w:val="auto"/>
        </w:rPr>
      </w:pPr>
    </w:p>
    <w:p>
      <w:pPr>
        <w:ind w:left="640" w:right="140" w:firstLine="638"/>
        <w:spacing w:after="0" w:line="270" w:lineRule="auto"/>
        <w:tabs>
          <w:tab w:leader="none" w:pos="179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disposition of assets or Equity Interests received in settlement of debts owing to a Person as a result of foreclosure, perfection or enforcement of any Lien or debt, which debts were owing to such Person; and</w:t>
      </w:r>
    </w:p>
    <w:p>
      <w:pPr>
        <w:spacing w:after="0" w:line="117" w:lineRule="exact"/>
        <w:rPr>
          <w:rFonts w:ascii="Times New Roman" w:cs="Times New Roman" w:eastAsia="Times New Roman" w:hAnsi="Times New Roman"/>
          <w:sz w:val="19"/>
          <w:szCs w:val="19"/>
          <w:color w:val="auto"/>
        </w:rPr>
      </w:pPr>
    </w:p>
    <w:p>
      <w:pPr>
        <w:ind w:left="1800" w:hanging="522"/>
        <w:spacing w:after="0"/>
        <w:tabs>
          <w:tab w:leader="none" w:pos="18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sale of Equity Interests in, or Indebtedness or other securities of, an Unrestricted Subsidiary.</w:t>
      </w:r>
    </w:p>
    <w:p>
      <w:pPr>
        <w:spacing w:after="0" w:line="190" w:lineRule="exact"/>
        <w:rPr>
          <w:sz w:val="20"/>
          <w:szCs w:val="20"/>
          <w:color w:val="auto"/>
        </w:rPr>
      </w:pPr>
    </w:p>
    <w:p>
      <w:pPr>
        <w:ind w:right="8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Asset Swap</w:t>
      </w:r>
      <w:r>
        <w:rPr>
          <w:rFonts w:ascii="Times New Roman" w:cs="Times New Roman" w:eastAsia="Times New Roman" w:hAnsi="Times New Roman"/>
          <w:sz w:val="19"/>
          <w:szCs w:val="19"/>
          <w:color w:val="auto"/>
        </w:rPr>
        <w:t xml:space="preserve">” means any substantially contemporaneous (and in any event occurring within 180 days of each other) purchase and sale or exchange of any assets or properties used or useful in the Oil and Gas Business between the Issuer or any of its Restricted Subsidiaries and another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Fair Market Value of the properties or assets traded or exchanged by the Issuer or such Restricted Subsidiary (together with any cash or Cash Equivalents) is reasonably equivalent to the Fair Market Value of the properties or assets (together with any cash or Cash Equivalents) to be received by the Issuer or such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any net cash or Cash Equivalents received must be applied in accordance with Section 4.10 if then in effect as if the Asset Swap were an Asset Sale.</w:t>
      </w:r>
    </w:p>
    <w:p>
      <w:pPr>
        <w:spacing w:after="0" w:line="160" w:lineRule="exact"/>
        <w:rPr>
          <w:sz w:val="20"/>
          <w:szCs w:val="20"/>
          <w:color w:val="auto"/>
        </w:rPr>
      </w:pPr>
    </w:p>
    <w:p>
      <w:pPr>
        <w:ind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Attributable Debt</w:t>
      </w:r>
      <w:r>
        <w:rPr>
          <w:rFonts w:ascii="Times New Roman" w:cs="Times New Roman" w:eastAsia="Times New Roman" w:hAnsi="Times New Roman"/>
          <w:sz w:val="19"/>
          <w:szCs w:val="19"/>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sale and leaseback transaction results in a Finance Lease Obligation, the amount of Indebtedness represented thereby will be determined in accordance with the definition of “Finance Lease Obligation.”</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Bankruptcy Law</w:t>
      </w:r>
      <w:r>
        <w:rPr>
          <w:rFonts w:ascii="Times New Roman" w:cs="Times New Roman" w:eastAsia="Times New Roman" w:hAnsi="Times New Roman"/>
          <w:sz w:val="19"/>
          <w:szCs w:val="19"/>
          <w:color w:val="auto"/>
        </w:rPr>
        <w:t>” means Title 11, U.S. Code or any similar federal or state law for the relief of debtors.</w:t>
      </w:r>
    </w:p>
    <w:p>
      <w:pPr>
        <w:spacing w:after="0" w:line="192" w:lineRule="exact"/>
        <w:rPr>
          <w:sz w:val="20"/>
          <w:szCs w:val="20"/>
          <w:color w:val="auto"/>
        </w:rPr>
      </w:pPr>
    </w:p>
    <w:p>
      <w:pPr>
        <w:ind w:right="60" w:firstLine="636"/>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Beneficial Owner</w:t>
      </w:r>
      <w:r>
        <w:rPr>
          <w:rFonts w:ascii="Times New Roman" w:cs="Times New Roman" w:eastAsia="Times New Roman" w:hAnsi="Times New Roman"/>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within one year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Board of Directors</w:t>
      </w:r>
      <w:r>
        <w:rPr>
          <w:rFonts w:ascii="Times New Roman" w:cs="Times New Roman" w:eastAsia="Times New Roman" w:hAnsi="Times New Roman"/>
          <w:sz w:val="19"/>
          <w:szCs w:val="19"/>
          <w:color w:val="auto"/>
        </w:rPr>
        <w:t>” means:</w:t>
      </w:r>
    </w:p>
    <w:p>
      <w:pPr>
        <w:spacing w:after="0" w:line="181" w:lineRule="exact"/>
        <w:rPr>
          <w:sz w:val="20"/>
          <w:szCs w:val="20"/>
          <w:color w:val="auto"/>
        </w:rPr>
      </w:pPr>
    </w:p>
    <w:p>
      <w:pPr>
        <w:ind w:left="640" w:right="40" w:firstLine="638"/>
        <w:spacing w:after="0" w:line="270" w:lineRule="auto"/>
        <w:tabs>
          <w:tab w:leader="none" w:pos="169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corporation, the board of directors of the corporation or any committee thereof duly authorized to act on behalf of such board;</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limited partnership, the board of directors of the general partner of the partnership;</w:t>
      </w:r>
    </w:p>
    <w:p>
      <w:pPr>
        <w:spacing w:after="0" w:line="192" w:lineRule="exact"/>
        <w:rPr>
          <w:rFonts w:ascii="Times New Roman" w:cs="Times New Roman" w:eastAsia="Times New Roman" w:hAnsi="Times New Roman"/>
          <w:sz w:val="19"/>
          <w:szCs w:val="19"/>
          <w:color w:val="auto"/>
        </w:rPr>
      </w:pPr>
    </w:p>
    <w:p>
      <w:pPr>
        <w:ind w:left="640" w:right="20" w:firstLine="638"/>
        <w:spacing w:after="0" w:line="270" w:lineRule="auto"/>
        <w:tabs>
          <w:tab w:leader="none" w:pos="169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limited liability company, the managing member or members or any controlling committee of managing members thereof;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140"/>
          </w:cols>
          <w:pgMar w:left="320" w:top="1440" w:right="439" w:bottom="1440" w:gutter="0" w:footer="0" w:header="0"/>
        </w:sectPr>
      </w:pPr>
    </w:p>
    <w:bookmarkStart w:id="19" w:name="page20"/>
    <w:bookmarkEnd w:id="19"/>
    <w:p>
      <w:pPr>
        <w:spacing w:after="0" w:line="148" w:lineRule="exact"/>
        <w:rPr>
          <w:sz w:val="20"/>
          <w:szCs w:val="20"/>
          <w:color w:val="auto"/>
        </w:rPr>
      </w:pPr>
    </w:p>
    <w:p>
      <w:pPr>
        <w:ind w:left="1280"/>
        <w:spacing w:after="0"/>
        <w:tabs>
          <w:tab w:leader="none" w:pos="1680" w:val="left"/>
        </w:tabs>
        <w:rPr>
          <w:sz w:val="20"/>
          <w:szCs w:val="20"/>
          <w:color w:val="auto"/>
        </w:rPr>
      </w:pPr>
      <w:r>
        <w:rPr>
          <w:rFonts w:ascii="Times New Roman" w:cs="Times New Roman" w:eastAsia="Times New Roman" w:hAnsi="Times New Roman"/>
          <w:sz w:val="19"/>
          <w:szCs w:val="19"/>
          <w:color w:val="auto"/>
        </w:rPr>
        <w:t>(4)</w:t>
        <w:tab/>
        <w:t>with respect to any other Person, the board or committee of such Person serving a similar function.</w:t>
      </w:r>
    </w:p>
    <w:p>
      <w:pPr>
        <w:spacing w:after="0" w:line="177" w:lineRule="exact"/>
        <w:rPr>
          <w:sz w:val="20"/>
          <w:szCs w:val="20"/>
          <w:color w:val="auto"/>
        </w:rPr>
      </w:pPr>
    </w:p>
    <w:p>
      <w:pPr>
        <w:ind w:right="2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Borrowing Base</w:t>
      </w:r>
      <w:r>
        <w:rPr>
          <w:rFonts w:ascii="Times New Roman" w:cs="Times New Roman" w:eastAsia="Times New Roman" w:hAnsi="Times New Roman"/>
          <w:sz w:val="19"/>
          <w:szCs w:val="19"/>
          <w:color w:val="auto"/>
        </w:rPr>
        <w:t>” means the maximum amount determined or re-determined by the lenders under the Credit Agreement, having a lender group with a majority in principal amount of the commitments thereunder provided by lenders that are commercial banks that engage in oil and gas reserve based lending in the ordinary course of their respective businesses, as the aggregate lending value to be ascribed to the Oil and Gas Properties of the Issuer and its Restricted Subsidiaries against which such lenders are prepared to provide loans, letters of credit or other Indebtedness to the Issuer and the Restricted Subsidiaries under the Credit Agreement, using their customary practices and standards for determining reserve based loans and which are generally applied by commercial lenders to borrowers in the Oil and Gas Business, as determined semi-annually during each year and/or on such other occasions as may be provided for by the Credit Agreement, and which is based upon, inter alia, the review by such lenders of the hydrocarbon reserves, royalty interests and assets and liabilities of the Issuer and the Restricted Subsidiaries.</w:t>
      </w:r>
    </w:p>
    <w:p>
      <w:pPr>
        <w:spacing w:after="0" w:line="3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Business Day</w:t>
      </w:r>
      <w:r>
        <w:rPr>
          <w:rFonts w:ascii="Times New Roman" w:cs="Times New Roman" w:eastAsia="Times New Roman" w:hAnsi="Times New Roman"/>
          <w:sz w:val="19"/>
          <w:szCs w:val="19"/>
          <w:color w:val="auto"/>
        </w:rPr>
        <w:t>” means any day other than a Legal Holiday.</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Capital Stock</w:t>
      </w:r>
      <w:r>
        <w:rPr>
          <w:rFonts w:ascii="Times New Roman" w:cs="Times New Roman" w:eastAsia="Times New Roman" w:hAnsi="Times New Roman"/>
          <w:sz w:val="19"/>
          <w:szCs w:val="19"/>
          <w:color w:val="auto"/>
        </w:rPr>
        <w:t>” means:</w:t>
      </w:r>
    </w:p>
    <w:p>
      <w:pPr>
        <w:spacing w:after="0" w:line="181" w:lineRule="exact"/>
        <w:rPr>
          <w:sz w:val="20"/>
          <w:szCs w:val="20"/>
          <w:color w:val="auto"/>
        </w:rPr>
      </w:pPr>
    </w:p>
    <w:p>
      <w:pPr>
        <w:ind w:left="1700" w:hanging="422"/>
        <w:spacing w:after="0"/>
        <w:tabs>
          <w:tab w:leader="none" w:pos="1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corporation, corporate stock;</w:t>
      </w:r>
    </w:p>
    <w:p>
      <w:pPr>
        <w:spacing w:after="0" w:line="192" w:lineRule="exact"/>
        <w:rPr>
          <w:rFonts w:ascii="Times New Roman" w:cs="Times New Roman" w:eastAsia="Times New Roman" w:hAnsi="Times New Roman"/>
          <w:sz w:val="19"/>
          <w:szCs w:val="19"/>
          <w:color w:val="auto"/>
        </w:rPr>
      </w:pPr>
    </w:p>
    <w:p>
      <w:pPr>
        <w:ind w:left="640" w:right="440" w:firstLine="638"/>
        <w:spacing w:after="0" w:line="270" w:lineRule="auto"/>
        <w:tabs>
          <w:tab w:leader="none" w:pos="169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association or business entity, any and all shares, interests, participations, rights or other equivalents (however designated) of corporate stock;</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partnership or limited liability company, partnership interests (whether general or limited) or membership</w:t>
      </w:r>
    </w:p>
    <w:p>
      <w:pPr>
        <w:spacing w:after="0" w:line="1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interests; and</w:t>
      </w:r>
    </w:p>
    <w:p>
      <w:pPr>
        <w:spacing w:after="0" w:line="157" w:lineRule="exact"/>
        <w:rPr>
          <w:rFonts w:ascii="Times New Roman" w:cs="Times New Roman" w:eastAsia="Times New Roman" w:hAnsi="Times New Roman"/>
          <w:sz w:val="19"/>
          <w:szCs w:val="19"/>
          <w:color w:val="auto"/>
        </w:rPr>
      </w:pPr>
    </w:p>
    <w:p>
      <w:pPr>
        <w:ind w:left="640" w:right="200" w:firstLine="638"/>
        <w:spacing w:after="0" w:line="251" w:lineRule="auto"/>
        <w:tabs>
          <w:tab w:leader="none" w:pos="169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interest or participation that confers on a Person the right to receive a share of the profits and losses of, or distributions of assets of, the issuing Person, but excluding from all of the foregoing any debt securities exercisable for, exchangeable for or convertible into Capital Stock, whether or not such debt securities include any right of participation with Capital Stock.</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Cash Equivalents</w:t>
      </w:r>
      <w:r>
        <w:rPr>
          <w:rFonts w:ascii="Times New Roman" w:cs="Times New Roman" w:eastAsia="Times New Roman" w:hAnsi="Times New Roman"/>
          <w:sz w:val="19"/>
          <w:szCs w:val="19"/>
          <w:color w:val="auto"/>
        </w:rPr>
        <w:t>” means:</w:t>
      </w:r>
    </w:p>
    <w:p>
      <w:pPr>
        <w:spacing w:after="0" w:line="194" w:lineRule="exact"/>
        <w:rPr>
          <w:sz w:val="20"/>
          <w:szCs w:val="20"/>
          <w:color w:val="auto"/>
        </w:rPr>
      </w:pPr>
    </w:p>
    <w:p>
      <w:pPr>
        <w:ind w:left="1700" w:hanging="422"/>
        <w:spacing w:after="0"/>
        <w:tabs>
          <w:tab w:leader="none" w:pos="1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United States dollars;</w:t>
      </w:r>
    </w:p>
    <w:p>
      <w:pPr>
        <w:spacing w:after="0" w:line="179" w:lineRule="exact"/>
        <w:rPr>
          <w:rFonts w:ascii="Times New Roman" w:cs="Times New Roman" w:eastAsia="Times New Roman" w:hAnsi="Times New Roman"/>
          <w:sz w:val="19"/>
          <w:szCs w:val="19"/>
          <w:color w:val="auto"/>
        </w:rPr>
      </w:pPr>
    </w:p>
    <w:p>
      <w:pPr>
        <w:ind w:left="640" w:right="400" w:firstLine="638"/>
        <w:spacing w:after="0" w:line="251" w:lineRule="auto"/>
        <w:tabs>
          <w:tab w:leader="none" w:pos="169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full faith and credit of the United States is pledged in support of those securities) having maturities of not more than one year from the date of acquisition;</w:t>
      </w:r>
    </w:p>
    <w:p>
      <w:pPr>
        <w:spacing w:after="0" w:line="149" w:lineRule="exact"/>
        <w:rPr>
          <w:rFonts w:ascii="Times New Roman" w:cs="Times New Roman" w:eastAsia="Times New Roman" w:hAnsi="Times New Roman"/>
          <w:sz w:val="19"/>
          <w:szCs w:val="19"/>
          <w:color w:val="auto"/>
        </w:rPr>
      </w:pPr>
    </w:p>
    <w:p>
      <w:pPr>
        <w:ind w:left="640" w:firstLine="638"/>
        <w:spacing w:after="0" w:line="251" w:lineRule="auto"/>
        <w:tabs>
          <w:tab w:leader="none" w:pos="169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S&amp;P or Moody’s;</w:t>
      </w:r>
    </w:p>
    <w:p>
      <w:pPr>
        <w:spacing w:after="0" w:line="149" w:lineRule="exact"/>
        <w:rPr>
          <w:rFonts w:ascii="Times New Roman" w:cs="Times New Roman" w:eastAsia="Times New Roman" w:hAnsi="Times New Roman"/>
          <w:sz w:val="19"/>
          <w:szCs w:val="19"/>
          <w:color w:val="auto"/>
        </w:rPr>
      </w:pPr>
    </w:p>
    <w:p>
      <w:pPr>
        <w:ind w:left="640" w:right="220" w:firstLine="638"/>
        <w:spacing w:after="0" w:line="251" w:lineRule="auto"/>
        <w:tabs>
          <w:tab w:leader="none" w:pos="169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deposit, demand deposits and eurodollar time deposits with maturities of one year or less from the date of acquisition, bankers’ acceptances with maturities not exceeding six months and overnight bank deposits, in each case, with any domestic commercial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bank having capital and surplus in excess of $500.0 million or that is a lender under the Credit Agreement;</w:t>
      </w:r>
    </w:p>
    <w:p>
      <w:pPr>
        <w:spacing w:after="0" w:line="179" w:lineRule="exact"/>
        <w:rPr>
          <w:sz w:val="20"/>
          <w:szCs w:val="20"/>
          <w:color w:val="auto"/>
        </w:rPr>
      </w:pPr>
    </w:p>
    <w:p>
      <w:pPr>
        <w:ind w:left="1700" w:hanging="422"/>
        <w:spacing w:after="0"/>
        <w:tabs>
          <w:tab w:leader="none" w:pos="1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with a term of not more than seven days for underlying securities of the types described in clauses</w:t>
      </w:r>
    </w:p>
    <w:p>
      <w:pPr>
        <w:spacing w:after="0" w:line="1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(3) and (4) above entered into with any financial institution meeting the qualifications specified in clause (4) above;</w:t>
      </w:r>
    </w:p>
    <w:p>
      <w:pPr>
        <w:spacing w:after="0" w:line="170" w:lineRule="exact"/>
        <w:rPr>
          <w:rFonts w:ascii="Times New Roman" w:cs="Times New Roman" w:eastAsia="Times New Roman" w:hAnsi="Times New Roman"/>
          <w:sz w:val="19"/>
          <w:szCs w:val="19"/>
          <w:color w:val="auto"/>
        </w:rPr>
      </w:pPr>
    </w:p>
    <w:p>
      <w:pPr>
        <w:ind w:left="640" w:right="360" w:firstLine="638"/>
        <w:spacing w:after="0" w:line="270" w:lineRule="auto"/>
        <w:tabs>
          <w:tab w:leader="none" w:pos="1697"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having one of the two highest ratings obtainable from Moody’s or S&amp;P and, in each case, maturing within one year after the date of acquisition;</w:t>
      </w:r>
    </w:p>
    <w:p>
      <w:pPr>
        <w:spacing w:after="0" w:line="131" w:lineRule="exact"/>
        <w:rPr>
          <w:rFonts w:ascii="Times New Roman" w:cs="Times New Roman" w:eastAsia="Times New Roman" w:hAnsi="Times New Roman"/>
          <w:sz w:val="19"/>
          <w:szCs w:val="19"/>
          <w:color w:val="auto"/>
        </w:rPr>
      </w:pPr>
    </w:p>
    <w:p>
      <w:pPr>
        <w:ind w:left="640" w:right="120" w:firstLine="638"/>
        <w:spacing w:after="0" w:line="270" w:lineRule="auto"/>
        <w:tabs>
          <w:tab w:leader="none" w:pos="1697"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at least 95% of the assets of which constitute Cash Equivalents of the kinds described in clauses (1) through (6) of this definition;</w:t>
      </w:r>
    </w:p>
    <w:p>
      <w:pPr>
        <w:spacing w:after="0" w:line="117" w:lineRule="exact"/>
        <w:rPr>
          <w:rFonts w:ascii="Times New Roman" w:cs="Times New Roman" w:eastAsia="Times New Roman" w:hAnsi="Times New Roman"/>
          <w:sz w:val="19"/>
          <w:szCs w:val="19"/>
          <w:color w:val="auto"/>
        </w:rPr>
      </w:pPr>
    </w:p>
    <w:p>
      <w:pPr>
        <w:ind w:left="640" w:right="80" w:firstLine="638"/>
        <w:spacing w:after="0" w:line="270" w:lineRule="auto"/>
        <w:tabs>
          <w:tab w:leader="none" w:pos="1697"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Subsidiary of the Issuer organized or operating outside the United States, investments denominated in local currency that are similar to the items specified in clauses (1) through (7) above; and</w:t>
      </w:r>
    </w:p>
    <w:p>
      <w:pPr>
        <w:spacing w:after="0" w:line="131" w:lineRule="exact"/>
        <w:rPr>
          <w:rFonts w:ascii="Times New Roman" w:cs="Times New Roman" w:eastAsia="Times New Roman" w:hAnsi="Times New Roman"/>
          <w:sz w:val="19"/>
          <w:szCs w:val="19"/>
          <w:color w:val="auto"/>
        </w:rPr>
      </w:pPr>
    </w:p>
    <w:p>
      <w:pPr>
        <w:ind w:left="640" w:right="160" w:firstLine="638"/>
        <w:spacing w:after="0" w:line="270" w:lineRule="auto"/>
        <w:tabs>
          <w:tab w:leader="none" w:pos="1697"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short-term money market and similar securities having a rating of at least P-2 or A-2 from either Moody’s or S&amp;P, respectively, and in each case maturing within 24 months after the date of the creation thereof.</w:t>
      </w:r>
    </w:p>
    <w:p>
      <w:pPr>
        <w:spacing w:after="0" w:line="129" w:lineRule="exact"/>
        <w:rPr>
          <w:sz w:val="20"/>
          <w:szCs w:val="20"/>
          <w:color w:val="auto"/>
        </w:rPr>
      </w:pPr>
    </w:p>
    <w:p>
      <w:pPr>
        <w:ind w:right="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Cash Management Obligations</w:t>
      </w:r>
      <w:r>
        <w:rPr>
          <w:rFonts w:ascii="Times New Roman" w:cs="Times New Roman" w:eastAsia="Times New Roman" w:hAnsi="Times New Roman"/>
          <w:sz w:val="19"/>
          <w:szCs w:val="19"/>
          <w:color w:val="auto"/>
        </w:rPr>
        <w:t>” means, with respect to any Person, any obligations of such Person to any lender in respect of treasury management arrangements, depositary or other cash management services, including any treasury management line of credit.</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w:t>
      </w:r>
      <w:r>
        <w:rPr>
          <w:rFonts w:ascii="Times New Roman" w:cs="Times New Roman" w:eastAsia="Times New Roman" w:hAnsi="Times New Roman"/>
          <w:sz w:val="19"/>
          <w:szCs w:val="19"/>
          <w:color w:val="auto"/>
        </w:rPr>
        <w:t>” means the occurrence of any of the following events:</w:t>
      </w:r>
    </w:p>
    <w:p>
      <w:pPr>
        <w:spacing w:after="0" w:line="194" w:lineRule="exact"/>
        <w:rPr>
          <w:sz w:val="20"/>
          <w:szCs w:val="20"/>
          <w:color w:val="auto"/>
        </w:rPr>
      </w:pPr>
    </w:p>
    <w:p>
      <w:pPr>
        <w:ind w:firstLine="642"/>
        <w:spacing w:after="0"/>
        <w:tabs>
          <w:tab w:leader="none" w:pos="105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“group” (as such terms are used in Sections 13(d) and 14(d) of the Exchange Act), other than any Subsidiary or Affiliate thereof, is or becomes the Beneficial Owner, directly or indirectly, of more than 50% of the total outstanding Voting Stock of the Issuer (measured by voting power rather than the number of shares), other than any such transaction in which the outstanding Voting Stock of the Issuer is changed into or exchanged for Voting Stock of the surviving Person or any parent thereof that collectively represents at least 50% of the total outstanding Voting Stock (measured by voting power rather than the number of shares) of the surviving Person or such parent immediately following such transaction;</w:t>
      </w:r>
    </w:p>
    <w:p>
      <w:pPr>
        <w:spacing w:after="0" w:line="159" w:lineRule="exact"/>
        <w:rPr>
          <w:rFonts w:ascii="Times New Roman" w:cs="Times New Roman" w:eastAsia="Times New Roman" w:hAnsi="Times New Roman"/>
          <w:sz w:val="19"/>
          <w:szCs w:val="19"/>
          <w:color w:val="auto"/>
        </w:rPr>
      </w:pPr>
    </w:p>
    <w:p>
      <w:pPr>
        <w:ind w:right="120" w:firstLine="642"/>
        <w:spacing w:after="0" w:line="270" w:lineRule="auto"/>
        <w:tabs>
          <w:tab w:leader="none" w:pos="105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sells, assigns, conveys, transfers, leases or otherwise disposes of all or substantially all of its assets to any Person other than the Issuer or a Subsidiary (other than by way of a merger or consolidation of the Issuer); or</w:t>
      </w:r>
    </w:p>
    <w:p>
      <w:pPr>
        <w:spacing w:after="0" w:line="117" w:lineRule="exact"/>
        <w:rPr>
          <w:rFonts w:ascii="Times New Roman" w:cs="Times New Roman" w:eastAsia="Times New Roman" w:hAnsi="Times New Roman"/>
          <w:sz w:val="19"/>
          <w:szCs w:val="19"/>
          <w:color w:val="auto"/>
        </w:rPr>
      </w:pPr>
    </w:p>
    <w:p>
      <w:pPr>
        <w:ind w:right="160" w:firstLine="642"/>
        <w:spacing w:after="0" w:line="270" w:lineRule="auto"/>
        <w:tabs>
          <w:tab w:leader="none" w:pos="105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is liquidated or dissolved or adopts a plan of liquidation or dissolution other than in a transaction which complies with the provisions described under Section 5.01.</w:t>
      </w:r>
    </w:p>
    <w:p>
      <w:pPr>
        <w:spacing w:after="0" w:line="131" w:lineRule="exact"/>
        <w:rPr>
          <w:sz w:val="20"/>
          <w:szCs w:val="20"/>
          <w:color w:val="auto"/>
        </w:rPr>
      </w:pPr>
    </w:p>
    <w:p>
      <w:pPr>
        <w:ind w:right="80" w:firstLine="636"/>
        <w:spacing w:after="0" w:line="242" w:lineRule="auto"/>
        <w:rPr>
          <w:sz w:val="20"/>
          <w:szCs w:val="20"/>
          <w:color w:val="auto"/>
        </w:rPr>
      </w:pPr>
      <w:r>
        <w:rPr>
          <w:rFonts w:ascii="Times New Roman" w:cs="Times New Roman" w:eastAsia="Times New Roman" w:hAnsi="Times New Roman"/>
          <w:sz w:val="19"/>
          <w:szCs w:val="19"/>
          <w:color w:val="auto"/>
        </w:rPr>
        <w:t>Notwithstanding the foregoing, (a) a transaction will not be deemed to involve a Change of Control if (i) the Issuer becomes a direct or indirect wholly owned subsidiary of a holding company and (ii) immediately following that transaction no Person (other than a holding company satisfying the requirements of this sentence) is the Beneficial Owner, directly or indirectly, of more than 50% of the Voting Stock of such holding company; and (b) a Change of Control shall not be deemed to occur upon the consummation of any actions undertaken by the Issuer or any Restricted Subsidiary solely for the purpose of changing the legal structure of the Issuer or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00"/>
          </w:cols>
          <w:pgMar w:left="320" w:top="1440" w:right="379" w:bottom="1440" w:gutter="0" w:footer="0" w:header="0"/>
        </w:sectPr>
      </w:pPr>
    </w:p>
    <w:bookmarkStart w:id="21" w:name="page22"/>
    <w:bookmarkEnd w:id="21"/>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Triggering Event</w:t>
      </w:r>
      <w:r>
        <w:rPr>
          <w:rFonts w:ascii="Times New Roman" w:cs="Times New Roman" w:eastAsia="Times New Roman" w:hAnsi="Times New Roman"/>
          <w:sz w:val="19"/>
          <w:szCs w:val="19"/>
          <w:color w:val="auto"/>
        </w:rPr>
        <w:t>” means the occurrence of both a Change of Control and a Rating Decline.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Clearstream</w:t>
      </w:r>
      <w:r>
        <w:rPr>
          <w:rFonts w:ascii="Times New Roman" w:cs="Times New Roman" w:eastAsia="Times New Roman" w:hAnsi="Times New Roman"/>
          <w:sz w:val="19"/>
          <w:szCs w:val="19"/>
          <w:color w:val="auto"/>
        </w:rPr>
        <w:t>” means Clearstream Banking, S.A.</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Code</w:t>
      </w:r>
      <w:r>
        <w:rPr>
          <w:rFonts w:ascii="Times New Roman" w:cs="Times New Roman" w:eastAsia="Times New Roman" w:hAnsi="Times New Roman"/>
          <w:sz w:val="19"/>
          <w:szCs w:val="19"/>
          <w:color w:val="auto"/>
        </w:rPr>
        <w:t>” means the Internal Revenue Code of 1986, as amended from time to time, and any successor statute or statutes thereto.</w:t>
      </w:r>
    </w:p>
    <w:p>
      <w:pPr>
        <w:spacing w:after="0" w:line="192" w:lineRule="exact"/>
        <w:rPr>
          <w:sz w:val="20"/>
          <w:szCs w:val="20"/>
          <w:color w:val="auto"/>
        </w:rPr>
      </w:pPr>
    </w:p>
    <w:p>
      <w:pPr>
        <w:ind w:right="6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Cash Flow</w:t>
      </w:r>
      <w:r>
        <w:rPr>
          <w:rFonts w:ascii="Times New Roman" w:cs="Times New Roman" w:eastAsia="Times New Roman" w:hAnsi="Times New Roman"/>
          <w:sz w:val="19"/>
          <w:szCs w:val="19"/>
          <w:color w:val="auto"/>
        </w:rPr>
        <w:t xml:space="preserve">” means, with respect to any specified Person for any period, the Consolidated Net Income of such Person for such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without duplication:</w:t>
      </w:r>
    </w:p>
    <w:p>
      <w:pPr>
        <w:spacing w:after="0" w:line="114" w:lineRule="exact"/>
        <w:rPr>
          <w:sz w:val="20"/>
          <w:szCs w:val="20"/>
          <w:color w:val="auto"/>
        </w:rPr>
      </w:pPr>
    </w:p>
    <w:p>
      <w:pPr>
        <w:ind w:left="640" w:right="40" w:firstLine="638"/>
        <w:spacing w:after="0" w:line="251" w:lineRule="auto"/>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amount equal to any extraordinary expenses or loss plus any net loss realized by such Person or any of its Restricted Subsidiaries in connection with an Asset Sale, to the extent such expenses or losses were deducted in computing such Consolidated Net Income; </w:t>
      </w:r>
      <w:r>
        <w:rPr>
          <w:rFonts w:ascii="Times New Roman" w:cs="Times New Roman" w:eastAsia="Times New Roman" w:hAnsi="Times New Roman"/>
          <w:sz w:val="19"/>
          <w:szCs w:val="19"/>
          <w:i w:val="1"/>
          <w:iCs w:val="1"/>
          <w:color w:val="auto"/>
        </w:rPr>
        <w:t>plus</w:t>
      </w:r>
    </w:p>
    <w:p>
      <w:pPr>
        <w:spacing w:after="0" w:line="149" w:lineRule="exact"/>
        <w:rPr>
          <w:rFonts w:ascii="Times New Roman" w:cs="Times New Roman" w:eastAsia="Times New Roman" w:hAnsi="Times New Roman"/>
          <w:sz w:val="19"/>
          <w:szCs w:val="19"/>
          <w:color w:val="auto"/>
        </w:rPr>
      </w:pPr>
    </w:p>
    <w:p>
      <w:pPr>
        <w:ind w:left="640" w:right="200" w:firstLine="638"/>
        <w:spacing w:after="0" w:line="251" w:lineRule="auto"/>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provision for taxes based on income or profits (including state franchise taxes accounted for as income taxes in accordance with GAAP) of such Person and its Restricted Subsidiaries for such period, to the extent that such provision for taxes was deducted in computing such Consolidated Net Income; </w:t>
      </w:r>
      <w:r>
        <w:rPr>
          <w:rFonts w:ascii="Times New Roman" w:cs="Times New Roman" w:eastAsia="Times New Roman" w:hAnsi="Times New Roman"/>
          <w:sz w:val="19"/>
          <w:szCs w:val="19"/>
          <w:i w:val="1"/>
          <w:iCs w:val="1"/>
          <w:color w:val="auto"/>
        </w:rPr>
        <w:t>plus</w:t>
      </w:r>
    </w:p>
    <w:p>
      <w:pPr>
        <w:spacing w:after="0" w:line="149" w:lineRule="exact"/>
        <w:rPr>
          <w:rFonts w:ascii="Times New Roman" w:cs="Times New Roman" w:eastAsia="Times New Roman" w:hAnsi="Times New Roman"/>
          <w:sz w:val="19"/>
          <w:szCs w:val="19"/>
          <w:color w:val="auto"/>
        </w:rPr>
      </w:pPr>
    </w:p>
    <w:p>
      <w:pPr>
        <w:ind w:left="640" w:right="320" w:firstLine="638"/>
        <w:spacing w:after="0" w:line="270" w:lineRule="auto"/>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19"/>
          <w:szCs w:val="19"/>
          <w:i w:val="1"/>
          <w:iCs w:val="1"/>
          <w:color w:val="auto"/>
        </w:rPr>
        <w:t>plus</w:t>
      </w:r>
    </w:p>
    <w:p>
      <w:pPr>
        <w:spacing w:after="0" w:line="117" w:lineRule="exact"/>
        <w:rPr>
          <w:rFonts w:ascii="Times New Roman" w:cs="Times New Roman" w:eastAsia="Times New Roman" w:hAnsi="Times New Roman"/>
          <w:sz w:val="19"/>
          <w:szCs w:val="19"/>
          <w:color w:val="auto"/>
        </w:rPr>
      </w:pPr>
    </w:p>
    <w:p>
      <w:pPr>
        <w:ind w:left="640" w:right="60" w:firstLine="638"/>
        <w:spacing w:after="0"/>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depreciation, depletion, amortization (including amortization of intangibles but excluding amortization of prepaid cash expenses that were paid in a prior period), impairment, abandonment expense, non-cash equity based compensation expense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 to the extent that such depreciation, depletion, amortization, impairment, abandonment expense and other non-cash charges or expenses were deducted in computing such Consolidated Net Income; </w:t>
      </w:r>
      <w:r>
        <w:rPr>
          <w:rFonts w:ascii="Times New Roman" w:cs="Times New Roman" w:eastAsia="Times New Roman" w:hAnsi="Times New Roman"/>
          <w:sz w:val="19"/>
          <w:szCs w:val="19"/>
          <w:i w:val="1"/>
          <w:iCs w:val="1"/>
          <w:color w:val="auto"/>
        </w:rPr>
        <w:t>plus</w:t>
      </w:r>
    </w:p>
    <w:p>
      <w:pPr>
        <w:spacing w:after="0" w:line="159" w:lineRule="exact"/>
        <w:rPr>
          <w:rFonts w:ascii="Times New Roman" w:cs="Times New Roman" w:eastAsia="Times New Roman" w:hAnsi="Times New Roman"/>
          <w:sz w:val="19"/>
          <w:szCs w:val="19"/>
          <w:color w:val="auto"/>
        </w:rPr>
      </w:pPr>
    </w:p>
    <w:p>
      <w:pPr>
        <w:ind w:left="640" w:right="840" w:firstLine="638"/>
        <w:spacing w:after="0" w:line="270" w:lineRule="auto"/>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Person accounts for its oil and gas operations using successful efforts or a similar method of accounting, consolidated exploration expense of such Person and its Restricted Subsidiaries; minus</w:t>
      </w:r>
    </w:p>
    <w:p>
      <w:pPr>
        <w:spacing w:after="0" w:line="131" w:lineRule="exact"/>
        <w:rPr>
          <w:rFonts w:ascii="Times New Roman" w:cs="Times New Roman" w:eastAsia="Times New Roman" w:hAnsi="Times New Roman"/>
          <w:sz w:val="19"/>
          <w:szCs w:val="19"/>
          <w:color w:val="auto"/>
        </w:rPr>
      </w:pPr>
    </w:p>
    <w:p>
      <w:pPr>
        <w:ind w:left="640" w:firstLine="638"/>
        <w:spacing w:after="0" w:line="270" w:lineRule="auto"/>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items increasing such Consolidated Net Income for such period, other than the accrual of revenue in the ordinary course of business; and </w:t>
      </w:r>
      <w:r>
        <w:rPr>
          <w:rFonts w:ascii="Times New Roman" w:cs="Times New Roman" w:eastAsia="Times New Roman" w:hAnsi="Times New Roman"/>
          <w:sz w:val="19"/>
          <w:szCs w:val="19"/>
          <w:i w:val="1"/>
          <w:iCs w:val="1"/>
          <w:color w:val="auto"/>
        </w:rPr>
        <w:t>minus</w:t>
      </w:r>
    </w:p>
    <w:p>
      <w:pPr>
        <w:spacing w:after="0" w:line="117" w:lineRule="exact"/>
        <w:rPr>
          <w:rFonts w:ascii="Times New Roman" w:cs="Times New Roman" w:eastAsia="Times New Roman" w:hAnsi="Times New Roman"/>
          <w:sz w:val="19"/>
          <w:szCs w:val="19"/>
          <w:color w:val="auto"/>
        </w:rPr>
      </w:pPr>
    </w:p>
    <w:p>
      <w:pPr>
        <w:ind w:left="640" w:right="320" w:firstLine="638"/>
        <w:spacing w:after="0" w:line="245" w:lineRule="auto"/>
        <w:tabs>
          <w:tab w:leader="none" w:pos="169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increasing such Consolidated Net Income for such period, the sum of (a) the amount of deferred revenues that are amortized during such period and are attributable to reserves that are subject to Volumetric Production Payments and (b) amounts recorded in accordance with GAAP as repayments of principal and interest pursuant to Dollar-Denominated Production Payments,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each case, on a consolidated basis and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46" w:lineRule="exact"/>
        <w:rPr>
          <w:sz w:val="20"/>
          <w:szCs w:val="20"/>
          <w:color w:val="auto"/>
        </w:rPr>
      </w:pPr>
    </w:p>
    <w:p>
      <w:pPr>
        <w:ind w:right="40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Leverage Ratio Indebtedness</w:t>
      </w:r>
      <w:r>
        <w:rPr>
          <w:rFonts w:ascii="Times New Roman" w:cs="Times New Roman" w:eastAsia="Times New Roman" w:hAnsi="Times New Roman"/>
          <w:sz w:val="19"/>
          <w:szCs w:val="19"/>
          <w:color w:val="auto"/>
        </w:rPr>
        <w:t>” of any Person as of any date means the aggregate amount of Indebtedness for money borrowed and Finance Lease Obligations of such Person and its Restricted Subsidiaries, determined on a consolidated basis.</w:t>
      </w:r>
    </w:p>
    <w:p>
      <w:pPr>
        <w:spacing w:after="0" w:line="112" w:lineRule="exact"/>
        <w:rPr>
          <w:sz w:val="20"/>
          <w:szCs w:val="20"/>
          <w:color w:val="auto"/>
        </w:rPr>
      </w:pPr>
    </w:p>
    <w:p>
      <w:pPr>
        <w:ind w:right="4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Net Income</w:t>
      </w:r>
      <w:r>
        <w:rPr>
          <w:rFonts w:ascii="Times New Roman" w:cs="Times New Roman" w:eastAsia="Times New Roman" w:hAnsi="Times New Roman"/>
          <w:sz w:val="19"/>
          <w:szCs w:val="19"/>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49" w:lineRule="exact"/>
        <w:rPr>
          <w:sz w:val="20"/>
          <w:szCs w:val="20"/>
          <w:color w:val="auto"/>
        </w:rPr>
      </w:pPr>
    </w:p>
    <w:p>
      <w:pPr>
        <w:ind w:left="640" w:right="20" w:firstLine="638"/>
        <w:spacing w:after="0" w:line="245"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income (or loss) of any Person that is not a Restricted Subsidiary or that is accounted for by the equity method of accounting will be included, but only to the extent of, in the case of net income, the amount of dividends or distributions paid in cash to the specified Person or a Restricted Subsidiary of the Person, or, in the case of net loss, the amount of cash that has been contributed by the specified Person or Restricted Subsidiary to fund such loss;</w:t>
      </w:r>
    </w:p>
    <w:p>
      <w:pPr>
        <w:spacing w:after="0" w:line="154" w:lineRule="exact"/>
        <w:rPr>
          <w:rFonts w:ascii="Times New Roman" w:cs="Times New Roman" w:eastAsia="Times New Roman" w:hAnsi="Times New Roman"/>
          <w:sz w:val="19"/>
          <w:szCs w:val="19"/>
          <w:color w:val="auto"/>
        </w:rPr>
      </w:pPr>
    </w:p>
    <w:p>
      <w:pPr>
        <w:ind w:left="640" w:firstLine="638"/>
        <w:spacing w:after="0" w:line="242"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income of any Restricted Subsidiary of such Person (other than a Guarantor) will be excluded to the extent that the declaration or payment of dividends or similar distributions by that Restricted Subsidiary of that net income is not at the date of determination permitted, directly or indirectly, by operation of the terms of its charter or any judgment, decree, order, statute, rule or governmental regulation applicable to that Restricted Subsidiary or its stockholders, partners or members or any other loan instrument, agreement or other contractual restriction;</w:t>
      </w:r>
    </w:p>
    <w:p>
      <w:pPr>
        <w:spacing w:after="0" w:line="144"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cumulative effect of a change in accounting principles will be excluded;</w:t>
      </w:r>
    </w:p>
    <w:p>
      <w:pPr>
        <w:spacing w:after="0" w:line="192" w:lineRule="exact"/>
        <w:rPr>
          <w:rFonts w:ascii="Times New Roman" w:cs="Times New Roman" w:eastAsia="Times New Roman" w:hAnsi="Times New Roman"/>
          <w:sz w:val="19"/>
          <w:szCs w:val="19"/>
          <w:color w:val="auto"/>
        </w:rPr>
      </w:pPr>
    </w:p>
    <w:p>
      <w:pPr>
        <w:ind w:left="640" w:right="80" w:firstLine="638"/>
        <w:spacing w:after="0" w:line="245"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gain (loss), net of taxes (less all fees and expenses relating thereto), realized upon the sale or other disposition of any property, plant or equipment of such Person or its consolidated Restricted Subsidiaries (including pursuant to any sale or leaseback transaction) which is not sold or otherwise disposed of in the ordinary course of business and any gain (loss) realized upon the sale or other disposition of any Capital Stock of any Person, together with any related provision for taxes on any such gain, will be excluded;</w:t>
      </w:r>
    </w:p>
    <w:p>
      <w:pPr>
        <w:spacing w:after="0" w:line="154" w:lineRule="exact"/>
        <w:rPr>
          <w:rFonts w:ascii="Times New Roman" w:cs="Times New Roman" w:eastAsia="Times New Roman" w:hAnsi="Times New Roman"/>
          <w:sz w:val="19"/>
          <w:szCs w:val="19"/>
          <w:color w:val="auto"/>
        </w:rPr>
      </w:pPr>
    </w:p>
    <w:p>
      <w:pPr>
        <w:ind w:left="640" w:right="100" w:firstLine="638"/>
        <w:spacing w:after="0" w:line="245"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deducted in the calculation of Consolidated Net Income, any non-cash or other charges relating to any premium or penalty paid, write off of deferred financing costs or other financial recapitalization charges in connection with redeeming or retiring any Indebtedness prior to its Stated Maturity, and any fees and expenses incurred in connection with debt financings or restructurings or in connection with the Issuer’s bankruptcy restructuring, will be excluded;</w:t>
      </w:r>
    </w:p>
    <w:p>
      <w:pPr>
        <w:spacing w:after="0" w:line="141" w:lineRule="exact"/>
        <w:rPr>
          <w:rFonts w:ascii="Times New Roman" w:cs="Times New Roman" w:eastAsia="Times New Roman" w:hAnsi="Times New Roman"/>
          <w:sz w:val="19"/>
          <w:szCs w:val="19"/>
          <w:color w:val="auto"/>
        </w:rPr>
      </w:pPr>
    </w:p>
    <w:p>
      <w:pPr>
        <w:ind w:left="640" w:right="100" w:firstLine="638"/>
        <w:spacing w:after="0" w:line="270"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“ceiling limitation” on oil and gas properties or other asset impairment writedowns on oil and gas properties or other non-current assets under GAAP or SEC guidelines will be excluded;</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equity compensation expenses, including under FASB ASC 718, will be excluded;</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deferred income tax provision will be excluded; and</w:t>
      </w:r>
    </w:p>
    <w:p>
      <w:pPr>
        <w:spacing w:after="0" w:line="179" w:lineRule="exact"/>
        <w:rPr>
          <w:rFonts w:ascii="Times New Roman" w:cs="Times New Roman" w:eastAsia="Times New Roman" w:hAnsi="Times New Roman"/>
          <w:sz w:val="19"/>
          <w:szCs w:val="19"/>
          <w:color w:val="auto"/>
        </w:rPr>
      </w:pPr>
    </w:p>
    <w:p>
      <w:pPr>
        <w:ind w:left="640" w:right="140" w:firstLine="638"/>
        <w:spacing w:after="0" w:line="270" w:lineRule="auto"/>
        <w:tabs>
          <w:tab w:leader="none" w:pos="169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unrealized non-cash gains or losses or charges in respect of Hedging Obligations (including those resulting from the application of FASB ASC 815) will be excluded.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180"/>
          </w:cols>
          <w:pgMar w:left="320" w:top="1440" w:right="399" w:bottom="1440" w:gutter="0" w:footer="0" w:header="0"/>
        </w:sectPr>
      </w:pPr>
    </w:p>
    <w:bookmarkStart w:id="23" w:name="page24"/>
    <w:bookmarkEnd w:id="23"/>
    <w:p>
      <w:pPr>
        <w:spacing w:after="0" w:line="146" w:lineRule="exact"/>
        <w:rPr>
          <w:sz w:val="20"/>
          <w:szCs w:val="20"/>
          <w:color w:val="auto"/>
        </w:rPr>
      </w:pPr>
    </w:p>
    <w:p>
      <w:pPr>
        <w:ind w:right="10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Net Working Capital</w:t>
      </w:r>
      <w:r>
        <w:rPr>
          <w:rFonts w:ascii="Times New Roman" w:cs="Times New Roman" w:eastAsia="Times New Roman" w:hAnsi="Times New Roman"/>
          <w:sz w:val="19"/>
          <w:szCs w:val="19"/>
          <w:color w:val="auto"/>
        </w:rPr>
        <w:t>” means (a) all current assets of the Issuer and its Restricted Subsidiaries except current assets from Oil and Gas Hedging Contracts, less (b) all current liabilities of the Issuer and its Restricted Subsidiaries, except (i) current liabilities included in Indebtedness, (ii) current liabilities associated with future abandonment or asset retirement obligations relating to oil and natural gas properties, (iii) current liabilities associated with non-cash stock based compensation and (iv) any current liabilities from Oil and Gas Hedging Contracts, in each case as set forth in the consolidated financial statements of the Issuer prepared in accordance with GAAP (excluding any adjustments made pursuant to FASB ASC 815).</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continuing</w:t>
      </w:r>
      <w:r>
        <w:rPr>
          <w:rFonts w:ascii="Times New Roman" w:cs="Times New Roman" w:eastAsia="Times New Roman" w:hAnsi="Times New Roman"/>
          <w:sz w:val="19"/>
          <w:szCs w:val="19"/>
          <w:color w:val="auto"/>
        </w:rPr>
        <w:t>” means, with respect to any Default or Event of Default, that such Default or Event of Default has not been cured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waived.</w:t>
      </w:r>
    </w:p>
    <w:p>
      <w:pPr>
        <w:spacing w:after="0" w:line="168" w:lineRule="exact"/>
        <w:rPr>
          <w:sz w:val="20"/>
          <w:szCs w:val="20"/>
          <w:color w:val="auto"/>
        </w:rPr>
      </w:pPr>
    </w:p>
    <w:p>
      <w:pPr>
        <w:ind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Corporate Trust Office of the Trustee</w:t>
      </w:r>
      <w:r>
        <w:rPr>
          <w:rFonts w:ascii="Times New Roman" w:cs="Times New Roman" w:eastAsia="Times New Roman" w:hAnsi="Times New Roman"/>
          <w:sz w:val="19"/>
          <w:szCs w:val="19"/>
          <w:color w:val="auto"/>
        </w:rPr>
        <w:t>” means the principal office of the Trustee which at any time its corporate trust business shall be administered, which office at the date hereof is located at the address of the Trustee specified in Section 12.02, or such other address as to which the Trustee may give notice to the Issuer), or the principal corporate trust office of any successor trustee (or such other address as such successor trustee may designate from time to time by notice to the Issuer).</w:t>
      </w:r>
    </w:p>
    <w:p>
      <w:pPr>
        <w:spacing w:after="0" w:line="151" w:lineRule="exact"/>
        <w:rPr>
          <w:sz w:val="20"/>
          <w:szCs w:val="20"/>
          <w:color w:val="auto"/>
        </w:rPr>
      </w:pPr>
    </w:p>
    <w:p>
      <w:pPr>
        <w:ind w:right="8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means the Credit Agreement dated as of October 27, 2020, as amended to the Issue Date among the Issuer, the guarantors party thereto, Citibank, N.A., as administrative agent, and the lenders and agents party thereto from time to time, as such agreement, in whole or in part, in one or more instances, as amended to date and as may hereafter be amended, renewed, extended, increased, substituted, refinanced, restructured, replaced, supplemented or otherwise modified from time to time (including, without limitation, any successive renewals, extensions, increases, substitutions, refinancings, restructurings, replacements, supplementations or other modifications of the foregoing).</w:t>
      </w:r>
    </w:p>
    <w:p>
      <w:pPr>
        <w:spacing w:after="0" w:line="365" w:lineRule="exact"/>
        <w:rPr>
          <w:sz w:val="20"/>
          <w:szCs w:val="20"/>
          <w:color w:val="auto"/>
        </w:rPr>
      </w:pPr>
    </w:p>
    <w:p>
      <w:pPr>
        <w:ind w:right="12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Credit Facilities</w:t>
      </w:r>
      <w:r>
        <w:rPr>
          <w:rFonts w:ascii="Times New Roman" w:cs="Times New Roman" w:eastAsia="Times New Roman" w:hAnsi="Times New Roman"/>
          <w:sz w:val="19"/>
          <w:szCs w:val="19"/>
          <w:color w:val="auto"/>
        </w:rPr>
        <w:t>” means one or more debt facilities (including the Credit Agreement), loan agreements, indentures or commercial paper facilities, in each case, with banks or other institutional lenders or investors providing for revolving credit loans, term loans, capital market financings, debt securities,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or after termination or otherwise) or refinanced (including by means of sales or exchanges of debt securities to or with institutional investors) in whole or in part from time to time.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Custodian</w:t>
      </w:r>
      <w:r>
        <w:rPr>
          <w:rFonts w:ascii="Times New Roman" w:cs="Times New Roman" w:eastAsia="Times New Roman" w:hAnsi="Times New Roman"/>
          <w:sz w:val="19"/>
          <w:szCs w:val="19"/>
          <w:color w:val="auto"/>
        </w:rPr>
        <w:t>” means the Trustee, as custodian with respect to the Notes in global form, or any successor entity thereto.</w:t>
      </w:r>
    </w:p>
    <w:p>
      <w:pPr>
        <w:spacing w:after="0" w:line="192" w:lineRule="exact"/>
        <w:rPr>
          <w:sz w:val="20"/>
          <w:szCs w:val="20"/>
          <w:color w:val="auto"/>
        </w:rPr>
      </w:pPr>
    </w:p>
    <w:p>
      <w:pPr>
        <w:ind w:right="34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Customary Recourse Exceptions</w:t>
      </w:r>
      <w:r>
        <w:rPr>
          <w:rFonts w:ascii="Times New Roman" w:cs="Times New Roman" w:eastAsia="Times New Roman" w:hAnsi="Times New Roman"/>
          <w:sz w:val="19"/>
          <w:szCs w:val="19"/>
          <w:color w:val="auto"/>
        </w:rPr>
        <w:t>” means, with respect to any Non-Recourse Debt of an Unrestricted Subsidiary or Joint Venture,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w:t>
      </w:r>
      <w:r>
        <w:rPr>
          <w:rFonts w:ascii="Times New Roman" w:cs="Times New Roman" w:eastAsia="Times New Roman" w:hAnsi="Times New Roman"/>
          <w:sz w:val="19"/>
          <w:szCs w:val="19"/>
          <w:color w:val="auto"/>
        </w:rPr>
        <w:t>” means any event that is, or with the passage of time or the giving of notice or both would be, an Event of Default.</w:t>
      </w:r>
    </w:p>
    <w:p>
      <w:pPr>
        <w:spacing w:after="0" w:line="192" w:lineRule="exact"/>
        <w:rPr>
          <w:sz w:val="20"/>
          <w:szCs w:val="20"/>
          <w:color w:val="auto"/>
        </w:rPr>
      </w:pPr>
    </w:p>
    <w:p>
      <w:pPr>
        <w:ind w:right="32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Definitive Note</w:t>
      </w:r>
      <w:r>
        <w:rPr>
          <w:rFonts w:ascii="Times New Roman" w:cs="Times New Roman" w:eastAsia="Times New Roman" w:hAnsi="Times New Roman"/>
          <w:sz w:val="19"/>
          <w:szCs w:val="19"/>
          <w:color w:val="auto"/>
        </w:rPr>
        <w:t xml:space="preserve">” means a certificated Note registered in the name of the Holder thereof and issued in accordance with Section 2.06,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except that such Note shall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bear the Global Note Legend and shall not have the “Schedule of Increases or Decreases of Interests in the Global Note” attached thereto.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 Minimis Guaranteed Amount</w:t>
      </w:r>
      <w:r>
        <w:rPr>
          <w:rFonts w:ascii="Times New Roman" w:cs="Times New Roman" w:eastAsia="Times New Roman" w:hAnsi="Times New Roman"/>
          <w:sz w:val="19"/>
          <w:szCs w:val="19"/>
          <w:color w:val="auto"/>
        </w:rPr>
        <w:t>” means a principal amount of Indebtedness that does not exceed $15.0 million.</w:t>
      </w:r>
    </w:p>
    <w:p>
      <w:pPr>
        <w:spacing w:after="0" w:line="192" w:lineRule="exact"/>
        <w:rPr>
          <w:sz w:val="20"/>
          <w:szCs w:val="20"/>
          <w:color w:val="auto"/>
        </w:rPr>
      </w:pPr>
    </w:p>
    <w:p>
      <w:pPr>
        <w:ind w:right="32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Designated Non-cash Consideration</w:t>
      </w:r>
      <w:r>
        <w:rPr>
          <w:rFonts w:ascii="Times New Roman" w:cs="Times New Roman" w:eastAsia="Times New Roman" w:hAnsi="Times New Roman"/>
          <w:sz w:val="19"/>
          <w:szCs w:val="19"/>
          <w:color w:val="auto"/>
        </w:rPr>
        <w:t>” means the Fair Market Value of non-cash consideration received by the Issuer or a Restricted Subsidiary in connection with an Asset Sale that is so designated as Designated Non-cash Consideration, less the amount of cash or Cash Equivalents received in connection with a subsequent sale of or collection on such Designated Non-cash Consideration.</w:t>
      </w:r>
    </w:p>
    <w:p>
      <w:pPr>
        <w:spacing w:after="0" w:line="147" w:lineRule="exact"/>
        <w:rPr>
          <w:sz w:val="20"/>
          <w:szCs w:val="20"/>
          <w:color w:val="auto"/>
        </w:rPr>
      </w:pPr>
    </w:p>
    <w:p>
      <w:pPr>
        <w:ind w:right="4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Depositary</w:t>
      </w:r>
      <w:r>
        <w:rPr>
          <w:rFonts w:ascii="Times New Roman" w:cs="Times New Roman" w:eastAsia="Times New Roman" w:hAnsi="Times New Roman"/>
          <w:sz w:val="19"/>
          <w:szCs w:val="19"/>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33" w:lineRule="exact"/>
        <w:rPr>
          <w:sz w:val="20"/>
          <w:szCs w:val="20"/>
          <w:color w:val="auto"/>
        </w:rPr>
      </w:pPr>
    </w:p>
    <w:p>
      <w:pPr>
        <w:ind w:firstLine="636"/>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Disqualified Stock</w:t>
      </w:r>
      <w:r>
        <w:rPr>
          <w:rFonts w:ascii="Times New Roman" w:cs="Times New Roman" w:eastAsia="Times New Roman" w:hAnsi="Times New Roman"/>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(other than in exchange for Capital Stock of the Issuer (other than Disqualified Stock)), in whole or in part, on or prior to the date that is 91 days after the earlier of (a) the date on which no Notes are outstanding and (b) the date on which the Notes mature; provided that only the portion of Capital Stock which is mandatorily redeemable or matures or is redeemable at the option of the holder thereof prior to such date will be deemed to be Disqualified Stock; provided, further, that any Capital Stock issued pursuant to any plan of the Issuer or any of its Affiliates for the benefit of one or more employees will not constitute Disqualified Stock solely because it may be required to be repurchased by the Issuer or any of its Affiliates in order to satisfy applicable contractual, statutory or regulatory obligations. Notwithstanding the preceding sentence, any Capital Stock that would constitute Disqualified Stock solely because the holders of the Capital Stock have the right to require the Issuer to repurchase or redeem such Capital Stock upon the occurrence of a change of control or an asset sale will not constitute Disqualified Stock if (x) the terms of such Capital Stock provide that the Issuer may not repurchase or redeem any such Capital Stock pursuant to such provisions unless such repurchase or redemption complies with Section 4.07 or (y) the terms of such Capital Stock provide that the Issuer may not repurchase or redeem any such Capital Stock pursuant to such provisions prior to the Issuer’s purchase of the Notes as is required to be purchased pursuant to the provisions of this Indenture. The amount (or principal amount) of Disqualified Stock deemed to be outstanding at any time for purposes of this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166" w:lineRule="exact"/>
        <w:rPr>
          <w:sz w:val="20"/>
          <w:szCs w:val="20"/>
          <w:color w:val="auto"/>
        </w:rPr>
      </w:pPr>
    </w:p>
    <w:p>
      <w:pPr>
        <w:ind w:right="18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Dollar-Denominated Production Payments</w:t>
      </w:r>
      <w:r>
        <w:rPr>
          <w:rFonts w:ascii="Times New Roman" w:cs="Times New Roman" w:eastAsia="Times New Roman" w:hAnsi="Times New Roman"/>
          <w:sz w:val="19"/>
          <w:szCs w:val="19"/>
          <w:color w:val="auto"/>
        </w:rPr>
        <w:t>” means production payment obligations recorded as liabilities in accordance with GAAP, together with all undertakings and obligations in connection therewith.</w:t>
      </w:r>
    </w:p>
    <w:p>
      <w:pPr>
        <w:spacing w:after="0" w:line="126" w:lineRule="exact"/>
        <w:rPr>
          <w:sz w:val="20"/>
          <w:szCs w:val="20"/>
          <w:color w:val="auto"/>
        </w:rPr>
      </w:pPr>
    </w:p>
    <w:p>
      <w:pPr>
        <w:ind w:right="10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EHP Assets</w:t>
      </w:r>
      <w:r>
        <w:rPr>
          <w:rFonts w:ascii="Times New Roman" w:cs="Times New Roman" w:eastAsia="Times New Roman" w:hAnsi="Times New Roman"/>
          <w:sz w:val="19"/>
          <w:szCs w:val="19"/>
          <w:color w:val="auto"/>
        </w:rPr>
        <w:t>” means the following assets owned by Elk Hills Power, LLC and located in Kern County, California: (i) that certain approximately 550 MW natural gas combined cycle electric generating facility, (ii) that certain approximately 200 MMSCFPD CGP-1 cryogenic gas processing facility, and (iii) those certain low temperature gas processing plants known as LTS-1 and LTS-2, in each case as they exist on the Issue Date, and excluding any additions or extensions to or expansions of any of the foregoing after the Issue Date.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Electronic Means</w:t>
      </w:r>
      <w:r>
        <w:rPr>
          <w:rFonts w:ascii="Times New Roman" w:cs="Times New Roman" w:eastAsia="Times New Roman" w:hAnsi="Times New Roman"/>
          <w:sz w:val="19"/>
          <w:szCs w:val="19"/>
          <w:color w:val="auto"/>
        </w:rPr>
        <w:t>” means the following communications methods: e-mail, facsimile transmission,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16" w:lineRule="exact"/>
        <w:rPr>
          <w:sz w:val="20"/>
          <w:szCs w:val="20"/>
          <w:color w:val="auto"/>
        </w:rPr>
      </w:pPr>
    </w:p>
    <w:p>
      <w:pPr>
        <w:ind w:right="16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Interests</w:t>
      </w:r>
      <w:r>
        <w:rPr>
          <w:rFonts w:ascii="Times New Roman" w:cs="Times New Roman" w:eastAsia="Times New Roman" w:hAnsi="Times New Roman"/>
          <w:sz w:val="19"/>
          <w:szCs w:val="19"/>
          <w:color w:val="auto"/>
        </w:rPr>
        <w:t>” of any Person means (1) any and all Capital Stock of such Person and (2) all rights to purchase, warrants or options (whether or not currently exercisable), participations or other equivalents of or interests in (however designated) such Capital Stock of such Person, but excluding from all of the foregoing any debt securities exercisable for, exchangeable for or convertible into Equity Interests, regardless of whether such debt securities include any right of participation with Equity Interests.</w:t>
      </w:r>
    </w:p>
    <w:p>
      <w:pPr>
        <w:spacing w:after="0" w:line="151" w:lineRule="exact"/>
        <w:rPr>
          <w:sz w:val="20"/>
          <w:szCs w:val="20"/>
          <w:color w:val="auto"/>
        </w:rPr>
      </w:pPr>
    </w:p>
    <w:p>
      <w:pPr>
        <w:ind w:right="14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Offering</w:t>
      </w:r>
      <w:r>
        <w:rPr>
          <w:rFonts w:ascii="Times New Roman" w:cs="Times New Roman" w:eastAsia="Times New Roman" w:hAnsi="Times New Roman"/>
          <w:sz w:val="19"/>
          <w:szCs w:val="19"/>
          <w:color w:val="auto"/>
        </w:rPr>
        <w:t>” means a sale of Equity Interests of the Issuer (other than Disqualified Stock and other than to a Subsidiary of the Issuer) made for cash or any cash contribution to the capital of the Issuer in respect of Equity Interests (other than Disqualified Stock), in each case after the Issue Date.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Euroclear</w:t>
      </w:r>
      <w:r>
        <w:rPr>
          <w:rFonts w:ascii="Times New Roman" w:cs="Times New Roman" w:eastAsia="Times New Roman" w:hAnsi="Times New Roman"/>
          <w:sz w:val="19"/>
          <w:szCs w:val="19"/>
          <w:color w:val="auto"/>
        </w:rPr>
        <w:t>” means Euroclear Bank, S.A./N.V., as operator of the Euroclear system.</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192" w:lineRule="exact"/>
        <w:rPr>
          <w:sz w:val="20"/>
          <w:szCs w:val="20"/>
          <w:color w:val="auto"/>
        </w:rPr>
      </w:pPr>
    </w:p>
    <w:p>
      <w:pPr>
        <w:ind w:right="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Existing Indebtedness</w:t>
      </w:r>
      <w:r>
        <w:rPr>
          <w:rFonts w:ascii="Times New Roman" w:cs="Times New Roman" w:eastAsia="Times New Roman" w:hAnsi="Times New Roman"/>
          <w:sz w:val="19"/>
          <w:szCs w:val="19"/>
          <w:color w:val="auto"/>
        </w:rPr>
        <w:t>” means all Indebtedness of the Issuer and its Subsidiaries (other than Indebtedness under the Credit Agreement, the Notes and the Guarantees) in existence on the Issue Date, until such amounts are repaid.</w:t>
      </w:r>
    </w:p>
    <w:p>
      <w:pPr>
        <w:spacing w:after="0" w:line="126" w:lineRule="exact"/>
        <w:rPr>
          <w:sz w:val="20"/>
          <w:szCs w:val="20"/>
          <w:color w:val="auto"/>
        </w:rPr>
      </w:pPr>
    </w:p>
    <w:p>
      <w:pPr>
        <w:ind w:right="72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Fair Market Value</w:t>
      </w:r>
      <w:r>
        <w:rPr>
          <w:rFonts w:ascii="Times New Roman" w:cs="Times New Roman" w:eastAsia="Times New Roman" w:hAnsi="Times New Roman"/>
          <w:sz w:val="19"/>
          <w:szCs w:val="19"/>
          <w:color w:val="auto"/>
        </w:rPr>
        <w:t>” means the value that would be paid by a willing buyer to an unaffiliated willing seller in a transaction not involving distress or necessity of either party.</w:t>
      </w:r>
    </w:p>
    <w:p>
      <w:pPr>
        <w:spacing w:after="0" w:line="112" w:lineRule="exact"/>
        <w:rPr>
          <w:sz w:val="20"/>
          <w:szCs w:val="20"/>
          <w:color w:val="auto"/>
        </w:rPr>
      </w:pPr>
    </w:p>
    <w:p>
      <w:pPr>
        <w:ind w:right="4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Finance Lease Obligation</w:t>
      </w:r>
      <w:r>
        <w:rPr>
          <w:rFonts w:ascii="Times New Roman" w:cs="Times New Roman" w:eastAsia="Times New Roman" w:hAnsi="Times New Roman"/>
          <w:sz w:val="19"/>
          <w:szCs w:val="19"/>
          <w:color w:val="auto"/>
        </w:rPr>
        <w:t>” means, at the time any determination is to be made, the amount of the liability in respect of a finance lease that would at that time be required to be capitalized on a balance sheet prepared in accordance with GAAP, with the amount of Indebtedness represented by such obligation being the capitalized amount of such obligation determined in accordance with GAAP, and the Stated Maturity thereof being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on the Issue Date will be deemed not to represent a Finance Lease Obligation. For purposes of Section 4.12, a Finance Lease Obligation will be deemed to be secured by a Lien on the property being leased.</w:t>
      </w:r>
    </w:p>
    <w:p>
      <w:pPr>
        <w:spacing w:after="0" w:line="365" w:lineRule="exact"/>
        <w:rPr>
          <w:sz w:val="20"/>
          <w:szCs w:val="20"/>
          <w:color w:val="auto"/>
        </w:rPr>
      </w:pPr>
    </w:p>
    <w:p>
      <w:pPr>
        <w:ind w:right="2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Fixed Charge Coverage Ratio</w:t>
      </w:r>
      <w:r>
        <w:rPr>
          <w:rFonts w:ascii="Times New Roman" w:cs="Times New Roman" w:eastAsia="Times New Roman" w:hAnsi="Times New Roman"/>
          <w:sz w:val="19"/>
          <w:szCs w:val="19"/>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9"/>
          <w:szCs w:val="19"/>
          <w:i w:val="1"/>
          <w:iCs w:val="1"/>
          <w:color w:val="auto"/>
        </w:rPr>
        <w:t>Calculation Date</w:t>
      </w:r>
      <w:r>
        <w:rPr>
          <w:rFonts w:ascii="Times New Roman" w:cs="Times New Roman" w:eastAsia="Times New Roman" w:hAnsi="Times New Roman"/>
          <w:sz w:val="19"/>
          <w:szCs w:val="19"/>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(except that in making such computation, interest on the amount of Indebtedness under any revolving Credit Facility outstanding on the date of such determination will be deemed to be (i) the average daily balance of such Indebtedness during such four fiscal quarters or such shorter period for which such Credit Facility was outstanding or (ii) if such revolving Credit Facility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4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created after the end of such four fiscal quarters, the average daily balance of such Indebtedness during the period from the date of creation of such revolving Credit Facility to the date of such determination). If any Indebtedness bears a floating rate of interest and is being given pro forma effect, the interest expense on such Indebtedness will be calculated as if the average rate in effect from the beginning of such period to the Calculation Date had been the applicable rate for the entire period (taking into account any interest Hedging Obligation applicable to such Indebtedness, but if the remaining term of such interest Hedging Obligation is less than twelve months, then such interest Hedging Obligation shall only be taken into account for that portion of the period equal to the remaining term thereof). If any Indebtedness that is being given pro forma effect bears an interest rate at the option of such Person, the interest rate shall be calculated by applying such option rate chosen by such Person.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such Person may designate. Interest on any Indebtedness under a revolving Credit Facility will be calculated based upon the average daily balance of such Indebtedness during the applicable period.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addition, for purposes of calculating the Fixed Charge Coverage Ratio:</w:t>
      </w:r>
    </w:p>
    <w:p>
      <w:pPr>
        <w:spacing w:after="0" w:line="192" w:lineRule="exact"/>
        <w:rPr>
          <w:sz w:val="20"/>
          <w:szCs w:val="20"/>
          <w:color w:val="auto"/>
        </w:rPr>
      </w:pPr>
    </w:p>
    <w:p>
      <w:pPr>
        <w:ind w:left="640" w:right="20" w:firstLine="638"/>
        <w:spacing w:after="0" w:line="239" w:lineRule="auto"/>
        <w:tabs>
          <w:tab w:leader="none" w:pos="16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or Investments that have been made, or contributions received, by the specified Person or any of its Restricted Subsidiaries, including through mergers, consolidations or otherwise (including acquisitions or Investments or contributions of assets used or useful in the Oil and Gas Business),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four-quarter reference period and on or prior to the Calculation Date, or that are to be made on the Calculation Date, will be given pro forma effect as if they had occurred on the first day of the four-quarter reference period;</w:t>
      </w:r>
    </w:p>
    <w:p>
      <w:pPr>
        <w:spacing w:after="0" w:line="159" w:lineRule="exact"/>
        <w:rPr>
          <w:rFonts w:ascii="Times New Roman" w:cs="Times New Roman" w:eastAsia="Times New Roman" w:hAnsi="Times New Roman"/>
          <w:sz w:val="19"/>
          <w:szCs w:val="19"/>
          <w:color w:val="auto"/>
        </w:rPr>
      </w:pPr>
    </w:p>
    <w:p>
      <w:pPr>
        <w:jc w:val="both"/>
        <w:ind w:left="640" w:right="680" w:firstLine="638"/>
        <w:spacing w:after="0" w:line="251" w:lineRule="auto"/>
        <w:tabs>
          <w:tab w:leader="none" w:pos="16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Cash Flow attributable to discontinued operations, as determined in accordance with GAAP, and operations or businesses or Investments (or ownership interests therein) disposed of on or prior to the Calculation Date, will be excluded;</w:t>
      </w:r>
    </w:p>
    <w:p>
      <w:pPr>
        <w:spacing w:after="0" w:line="136" w:lineRule="exact"/>
        <w:rPr>
          <w:rFonts w:ascii="Times New Roman" w:cs="Times New Roman" w:eastAsia="Times New Roman" w:hAnsi="Times New Roman"/>
          <w:sz w:val="19"/>
          <w:szCs w:val="19"/>
          <w:color w:val="auto"/>
        </w:rPr>
      </w:pPr>
    </w:p>
    <w:p>
      <w:pPr>
        <w:ind w:left="640" w:right="120" w:firstLine="638"/>
        <w:spacing w:after="0" w:line="245" w:lineRule="auto"/>
        <w:tabs>
          <w:tab w:leader="none" w:pos="16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Fixed Charges attributable to discontinued operations, as determined in accordance with GAAP, and operations or businesses or Investments (or ownership interests therein)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54" w:lineRule="exact"/>
        <w:rPr>
          <w:rFonts w:ascii="Times New Roman" w:cs="Times New Roman" w:eastAsia="Times New Roman" w:hAnsi="Times New Roman"/>
          <w:sz w:val="19"/>
          <w:szCs w:val="19"/>
          <w:color w:val="auto"/>
        </w:rPr>
      </w:pPr>
    </w:p>
    <w:p>
      <w:pPr>
        <w:ind w:left="640" w:right="20" w:firstLine="638"/>
        <w:spacing w:after="0" w:line="270" w:lineRule="auto"/>
        <w:tabs>
          <w:tab w:leader="none" w:pos="16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that is to be a Restricted Subsidiary of the specified Person immediately following the Calculation Date will be deemed to have been a Restricted Subsidiary at all times during such four-quarter reference period;</w:t>
      </w:r>
    </w:p>
    <w:p>
      <w:pPr>
        <w:spacing w:after="0" w:line="131" w:lineRule="exact"/>
        <w:rPr>
          <w:rFonts w:ascii="Times New Roman" w:cs="Times New Roman" w:eastAsia="Times New Roman" w:hAnsi="Times New Roman"/>
          <w:sz w:val="19"/>
          <w:szCs w:val="19"/>
          <w:color w:val="auto"/>
        </w:rPr>
      </w:pPr>
    </w:p>
    <w:p>
      <w:pPr>
        <w:ind w:left="640" w:right="300" w:firstLine="638"/>
        <w:spacing w:after="0" w:line="270" w:lineRule="auto"/>
        <w:tabs>
          <w:tab w:leader="none" w:pos="16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that is not to be a Restricted Subsidiary of the specified Person immediately following the Calculation Date will be deemed not to have been a Restricted Subsidiary at any time during such four-quarter reference period;</w:t>
      </w:r>
    </w:p>
    <w:p>
      <w:pPr>
        <w:spacing w:after="0" w:line="117" w:lineRule="exact"/>
        <w:rPr>
          <w:rFonts w:ascii="Times New Roman" w:cs="Times New Roman" w:eastAsia="Times New Roman" w:hAnsi="Times New Roman"/>
          <w:sz w:val="19"/>
          <w:szCs w:val="19"/>
          <w:color w:val="auto"/>
        </w:rPr>
      </w:pPr>
    </w:p>
    <w:p>
      <w:pPr>
        <w:jc w:val="both"/>
        <w:ind w:left="640" w:right="160" w:firstLine="638"/>
        <w:spacing w:after="0" w:line="245" w:lineRule="auto"/>
        <w:tabs>
          <w:tab w:leader="none" w:pos="16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income reasonably anticipated by such Person to be received during the applicable four-quarter reference period from cash or Cash Equivalents held by such Person or any Restricted Subsidiary of such Person, which cash or Cash Equivalents exist on the Calculation Date or will exist as a result of the transaction giving rise to the need to calculate the Fixed Charge Coverage Ratio, will be included;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8" w:lineRule="exact"/>
        <w:rPr>
          <w:sz w:val="20"/>
          <w:szCs w:val="20"/>
          <w:color w:val="auto"/>
        </w:rPr>
      </w:pPr>
    </w:p>
    <w:p>
      <w:pPr>
        <w:ind w:left="640" w:right="20" w:firstLine="638"/>
        <w:spacing w:after="0" w:line="239" w:lineRule="auto"/>
        <w:tabs>
          <w:tab w:leader="none" w:pos="169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since the beginning of such four-quarter reference period, any Person (that subsequently became a Restricted Subsidiary or was merged or consolidated with or into such Person or any of its Restricted Subsidiaries since the beginning of such four-quarter reference period) disposed of any operations or businesses or Investments (or ownership interests therein) or made any acquisition or Investment or received any contribution that would have required an adjustment pursuant to clause (1), (2) or (3) above if made by such Person or any of its Restricted Subsidiaries during such four-quarter reference period, Consolidated Cash Flow and Fixed Charges for such period will be calculated after giving pro forma effect thereto as if such disposition or acquisition, contribution or Investment had occurred on the first day of such four-quarter reference period.</w:t>
      </w:r>
    </w:p>
    <w:p>
      <w:pPr>
        <w:spacing w:after="0" w:line="147" w:lineRule="exact"/>
        <w:rPr>
          <w:sz w:val="20"/>
          <w:szCs w:val="20"/>
          <w:color w:val="auto"/>
        </w:rPr>
      </w:pPr>
    </w:p>
    <w:p>
      <w:pPr>
        <w:ind w:right="20" w:firstLine="636"/>
        <w:spacing w:after="0" w:line="239" w:lineRule="auto"/>
        <w:rPr>
          <w:sz w:val="20"/>
          <w:szCs w:val="20"/>
          <w:color w:val="auto"/>
        </w:rPr>
      </w:pPr>
      <w:r>
        <w:rPr>
          <w:rFonts w:ascii="Times New Roman" w:cs="Times New Roman" w:eastAsia="Times New Roman" w:hAnsi="Times New Roman"/>
          <w:sz w:val="19"/>
          <w:szCs w:val="19"/>
          <w:color w:val="auto"/>
        </w:rPr>
        <w:t xml:space="preserve">For purposes of this definition, whenever pro forma effect is to be given to any calculation under this definition, the pro forma calculations will be determined in good faith by a responsible financial or accounting Officer of the Issuer, which determination shall be conclusive for all purposes under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Officer may in such Officer’s discretion include any reasonably identifiable and factually supportable pro forma changes to Consolidated Cash Flow or Fixed Charges, including any pro forma expense and cost reductions or synergies that have occurred or are reasonably expected to occur within the 12 months immediately following the Calculation Date (regardless of whether those cost savings or operating improvements could then be reflected in pro forma financial statements in accordance with Regulation S-X promulgated under the Securities Act or any other regulation or policy of the SEC related thereto).</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Fixed Charges</w:t>
      </w:r>
      <w:r>
        <w:rPr>
          <w:rFonts w:ascii="Times New Roman" w:cs="Times New Roman" w:eastAsia="Times New Roman" w:hAnsi="Times New Roman"/>
          <w:sz w:val="19"/>
          <w:szCs w:val="19"/>
          <w:color w:val="auto"/>
        </w:rPr>
        <w:t>” means, with respect to any specified Person for any period, the sum, without duplication, of:</w:t>
      </w:r>
    </w:p>
    <w:p>
      <w:pPr>
        <w:spacing w:after="0" w:line="194" w:lineRule="exact"/>
        <w:rPr>
          <w:sz w:val="20"/>
          <w:szCs w:val="20"/>
          <w:color w:val="auto"/>
        </w:rPr>
      </w:pPr>
    </w:p>
    <w:p>
      <w:pPr>
        <w:ind w:firstLine="642"/>
        <w:spacing w:after="0" w:line="239" w:lineRule="auto"/>
        <w:tabs>
          <w:tab w:leader="none" w:pos="105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consolidated interest expense (less interest income) of such Person and its Restricted Subsidiaries for such period, whether paid or accrued (excluding (i) any interest attributable to Dollar-Denominated Production Payments, (ii) write-off of deferred financing costs and (iii) accretion of interest charges on future plugging and abandonment obligations, future retirement benefits and other obligations that do not constitute Indebtedness, but including, without limitation, amortization of debt issuance costs and original issue discount, non-cash interest payments,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9"/>
          <w:szCs w:val="19"/>
          <w:i w:val="1"/>
          <w:iCs w:val="1"/>
          <w:color w:val="auto"/>
        </w:rPr>
        <w:t>plus</w:t>
      </w:r>
    </w:p>
    <w:p>
      <w:pPr>
        <w:spacing w:after="0" w:line="144" w:lineRule="exact"/>
        <w:rPr>
          <w:rFonts w:ascii="Times New Roman" w:cs="Times New Roman" w:eastAsia="Times New Roman" w:hAnsi="Times New Roman"/>
          <w:sz w:val="19"/>
          <w:szCs w:val="19"/>
          <w:color w:val="auto"/>
        </w:rPr>
      </w:pPr>
    </w:p>
    <w:p>
      <w:pPr>
        <w:ind w:left="1060" w:hanging="418"/>
        <w:spacing w:after="0"/>
        <w:tabs>
          <w:tab w:leader="none" w:pos="10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9"/>
          <w:szCs w:val="19"/>
          <w:i w:val="1"/>
          <w:iCs w:val="1"/>
          <w:color w:val="auto"/>
        </w:rPr>
        <w:t>plus</w:t>
      </w:r>
    </w:p>
    <w:p>
      <w:pPr>
        <w:spacing w:after="0" w:line="194" w:lineRule="exact"/>
        <w:rPr>
          <w:rFonts w:ascii="Times New Roman" w:cs="Times New Roman" w:eastAsia="Times New Roman" w:hAnsi="Times New Roman"/>
          <w:sz w:val="19"/>
          <w:szCs w:val="19"/>
          <w:color w:val="auto"/>
        </w:rPr>
      </w:pPr>
    </w:p>
    <w:p>
      <w:pPr>
        <w:ind w:right="180" w:firstLine="642"/>
        <w:spacing w:after="0" w:line="251" w:lineRule="auto"/>
        <w:tabs>
          <w:tab w:leader="none" w:pos="105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interest on Indebtedness of another Person (other than Non-Recourse Debt of any Unrestricted Subsidiary or Joint Venture incurred pursuant to Section 4.09(b)(14))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19"/>
          <w:szCs w:val="19"/>
          <w:i w:val="1"/>
          <w:iCs w:val="1"/>
          <w:color w:val="auto"/>
        </w:rPr>
        <w:t>plus</w:t>
      </w:r>
    </w:p>
    <w:p>
      <w:pPr>
        <w:spacing w:after="0" w:line="149" w:lineRule="exact"/>
        <w:rPr>
          <w:rFonts w:ascii="Times New Roman" w:cs="Times New Roman" w:eastAsia="Times New Roman" w:hAnsi="Times New Roman"/>
          <w:sz w:val="19"/>
          <w:szCs w:val="19"/>
          <w:color w:val="auto"/>
        </w:rPr>
      </w:pPr>
    </w:p>
    <w:p>
      <w:pPr>
        <w:ind w:right="40" w:firstLine="642"/>
        <w:spacing w:after="0" w:line="251" w:lineRule="auto"/>
        <w:tabs>
          <w:tab w:leader="none" w:pos="105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dividends, whether paid or accrued and whether or not in cash, on any series of Disqualified Stock of such Person or any series of Preferred Stock of its Restricted Subsidiaries, other than dividends on Equity Interests payable solely in Equity Interests of such Person (other than Disqualified Stock) or to such Person or a Restricted Subsidiary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each case, on a consolidated basis and determined in accordance with GAAP.</w:t>
      </w:r>
    </w:p>
    <w:p>
      <w:pPr>
        <w:spacing w:after="0" w:line="177" w:lineRule="exact"/>
        <w:rPr>
          <w:sz w:val="20"/>
          <w:szCs w:val="20"/>
          <w:color w:val="auto"/>
        </w:rPr>
      </w:pPr>
    </w:p>
    <w:p>
      <w:pPr>
        <w:ind w:right="8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GAAP</w:t>
      </w:r>
      <w:r>
        <w:rPr>
          <w:rFonts w:ascii="Times New Roman" w:cs="Times New Roman" w:eastAsia="Times New Roman" w:hAnsi="Times New Roman"/>
          <w:sz w:val="19"/>
          <w:szCs w:val="19"/>
          <w:color w:val="auto"/>
        </w:rPr>
        <w:t>” means generally accepted accounting principles in the United States, which are in effect from time to time. All ratio computations based on GAAP contained in this Indenture will be computed in conformity with GAAP.</w:t>
      </w:r>
    </w:p>
    <w:p>
      <w:pPr>
        <w:spacing w:after="0" w:line="126" w:lineRule="exact"/>
        <w:rPr>
          <w:sz w:val="20"/>
          <w:szCs w:val="20"/>
          <w:color w:val="auto"/>
        </w:rPr>
      </w:pPr>
    </w:p>
    <w:p>
      <w:pPr>
        <w:ind w:right="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Global Note Legend</w:t>
      </w:r>
      <w:r>
        <w:rPr>
          <w:rFonts w:ascii="Times New Roman" w:cs="Times New Roman" w:eastAsia="Times New Roman" w:hAnsi="Times New Roman"/>
          <w:sz w:val="19"/>
          <w:szCs w:val="19"/>
          <w:color w:val="auto"/>
        </w:rPr>
        <w:t>” means the legend set forth in Section 2.06(g)(2), which is required to be placed on all Global Notes issued under this Indenture.</w:t>
      </w:r>
    </w:p>
    <w:p>
      <w:pPr>
        <w:spacing w:after="0" w:line="126" w:lineRule="exact"/>
        <w:rPr>
          <w:sz w:val="20"/>
          <w:szCs w:val="20"/>
          <w:color w:val="auto"/>
        </w:rPr>
      </w:pPr>
    </w:p>
    <w:p>
      <w:pPr>
        <w:ind w:right="4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Global Notes</w:t>
      </w:r>
      <w:r>
        <w:rPr>
          <w:rFonts w:ascii="Times New Roman" w:cs="Times New Roman" w:eastAsia="Times New Roman" w:hAnsi="Times New Roman"/>
          <w:sz w:val="19"/>
          <w:szCs w:val="19"/>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and that bears the Global Note Legend and that has the “Schedule of Increases or Decreases of Interests in the Global Note” attached thereto issued in accordance with Section 2.01, 2.06(b)(4) or 2.06(d)(4).</w:t>
      </w:r>
    </w:p>
    <w:p>
      <w:pPr>
        <w:spacing w:after="0" w:line="138" w:lineRule="exact"/>
        <w:rPr>
          <w:sz w:val="20"/>
          <w:szCs w:val="20"/>
          <w:color w:val="auto"/>
        </w:rPr>
      </w:pPr>
    </w:p>
    <w:p>
      <w:pPr>
        <w:ind w:right="1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Government Securities</w:t>
      </w:r>
      <w:r>
        <w:rPr>
          <w:rFonts w:ascii="Times New Roman" w:cs="Times New Roman" w:eastAsia="Times New Roman" w:hAnsi="Times New Roman"/>
          <w:sz w:val="19"/>
          <w:szCs w:val="19"/>
          <w:color w:val="auto"/>
        </w:rPr>
        <w:t>” means direct obligations of, or obligations guaranteed by, the United States of America, and the payment for which the United States pledges its full faith and credit.</w:t>
      </w:r>
    </w:p>
    <w:p>
      <w:pPr>
        <w:spacing w:after="0" w:line="126" w:lineRule="exact"/>
        <w:rPr>
          <w:sz w:val="20"/>
          <w:szCs w:val="20"/>
          <w:color w:val="auto"/>
        </w:rPr>
      </w:pPr>
    </w:p>
    <w:p>
      <w:pPr>
        <w:ind w:right="46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Guarantee</w:t>
      </w:r>
      <w:r>
        <w:rPr>
          <w:rFonts w:ascii="Times New Roman" w:cs="Times New Roman" w:eastAsia="Times New Roman" w:hAnsi="Times New Roman"/>
          <w:sz w:val="19"/>
          <w:szCs w:val="19"/>
          <w:color w:val="auto"/>
        </w:rPr>
        <w:t>” means the guarantee by each Guarantor of the Issuer’s obligations under this Indenture and the Notes, as provided in Article 10.</w:t>
      </w:r>
    </w:p>
    <w:p>
      <w:pPr>
        <w:spacing w:after="0" w:line="126" w:lineRule="exact"/>
        <w:rPr>
          <w:sz w:val="20"/>
          <w:szCs w:val="20"/>
          <w:color w:val="auto"/>
        </w:rPr>
      </w:pPr>
    </w:p>
    <w:p>
      <w:pPr>
        <w:ind w:firstLine="636"/>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guarantee</w:t>
      </w:r>
      <w:r>
        <w:rPr>
          <w:rFonts w:ascii="Times New Roman" w:cs="Times New Roman" w:eastAsia="Times New Roman" w:hAnsi="Times New Roman"/>
          <w:sz w:val="19"/>
          <w:szCs w:val="19"/>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When used as a verb, “guarantee” has a correlative meaning.</w:t>
      </w:r>
    </w:p>
    <w:p>
      <w:pPr>
        <w:spacing w:after="0" w:line="144" w:lineRule="exact"/>
        <w:rPr>
          <w:sz w:val="20"/>
          <w:szCs w:val="20"/>
          <w:color w:val="auto"/>
        </w:rPr>
      </w:pPr>
    </w:p>
    <w:p>
      <w:pPr>
        <w:ind w:right="10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Guarantors</w:t>
      </w:r>
      <w:r>
        <w:rPr>
          <w:rFonts w:ascii="Times New Roman" w:cs="Times New Roman" w:eastAsia="Times New Roman" w:hAnsi="Times New Roman"/>
          <w:sz w:val="19"/>
          <w:szCs w:val="19"/>
          <w:color w:val="auto"/>
        </w:rPr>
        <w:t>” means any Subsidiary of the Issuer that guarantees the Notes in accordance with the provisions of this Indenture, and their respective successors and assigns, in each case, until the Guarantee of such Person has been released in accordance with the provisions of this Indenture.</w:t>
      </w:r>
    </w:p>
    <w:p>
      <w:pPr>
        <w:spacing w:after="0" w:line="147" w:lineRule="exact"/>
        <w:rPr>
          <w:sz w:val="20"/>
          <w:szCs w:val="20"/>
          <w:color w:val="auto"/>
        </w:rPr>
      </w:pPr>
    </w:p>
    <w:p>
      <w:pPr>
        <w:ind w:right="22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Hedging Obligations</w:t>
      </w:r>
      <w:r>
        <w:rPr>
          <w:rFonts w:ascii="Times New Roman" w:cs="Times New Roman" w:eastAsia="Times New Roman" w:hAnsi="Times New Roman"/>
          <w:sz w:val="19"/>
          <w:szCs w:val="19"/>
          <w:color w:val="auto"/>
        </w:rPr>
        <w:t>” means, with respect to any specified Person, the obligations of such Person under any (a) Interest Rate Agreement, (b) Oil and Gas Hedging Contract, or (c) other agreements or arrangements designed to protect such Person against or to manage exposure to fluctuations in currency exchange rates.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Holder</w:t>
      </w:r>
      <w:r>
        <w:rPr>
          <w:rFonts w:ascii="Times New Roman" w:cs="Times New Roman" w:eastAsia="Times New Roman" w:hAnsi="Times New Roman"/>
          <w:sz w:val="19"/>
          <w:szCs w:val="19"/>
          <w:color w:val="auto"/>
        </w:rPr>
        <w:t>” means a Person in whose name a Note is registered.</w:t>
      </w:r>
    </w:p>
    <w:p>
      <w:pPr>
        <w:spacing w:after="0" w:line="179" w:lineRule="exact"/>
        <w:rPr>
          <w:sz w:val="20"/>
          <w:szCs w:val="20"/>
          <w:color w:val="auto"/>
        </w:rPr>
      </w:pPr>
    </w:p>
    <w:p>
      <w:pPr>
        <w:ind w:right="3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Hydrocarbons</w:t>
      </w:r>
      <w:r>
        <w:rPr>
          <w:rFonts w:ascii="Times New Roman" w:cs="Times New Roman" w:eastAsia="Times New Roman" w:hAnsi="Times New Roman"/>
          <w:sz w:val="19"/>
          <w:szCs w:val="19"/>
          <w:color w:val="auto"/>
        </w:rPr>
        <w:t>” means oil, natural gas, casing head gas, drip gasoline, natural gasoline, condensate, distillate, liquid hydrocarbons, gaseous hydrocarbons and all constituents, elements or compounds thereof and products refined or processed therefrom.</w:t>
      </w:r>
    </w:p>
    <w:p>
      <w:pPr>
        <w:spacing w:after="0" w:line="126" w:lineRule="exact"/>
        <w:rPr>
          <w:sz w:val="20"/>
          <w:szCs w:val="20"/>
          <w:color w:val="auto"/>
        </w:rPr>
      </w:pPr>
    </w:p>
    <w:p>
      <w:pPr>
        <w:ind w:right="20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IAI Global Note</w:t>
      </w:r>
      <w:r>
        <w:rPr>
          <w:rFonts w:ascii="Times New Roman" w:cs="Times New Roman" w:eastAsia="Times New Roman" w:hAnsi="Times New Roman"/>
          <w:sz w:val="19"/>
          <w:szCs w:val="19"/>
          <w:color w:val="auto"/>
        </w:rPr>
        <w:t xml:space="preserve">” means a Global Note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resold to Institutional Accredited Investors.</w:t>
      </w:r>
    </w:p>
    <w:p>
      <w:pPr>
        <w:spacing w:after="0" w:line="147" w:lineRule="exact"/>
        <w:rPr>
          <w:sz w:val="20"/>
          <w:szCs w:val="20"/>
          <w:color w:val="auto"/>
        </w:rPr>
      </w:pPr>
    </w:p>
    <w:p>
      <w:pPr>
        <w:ind w:right="20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Indebtedness</w:t>
      </w:r>
      <w:r>
        <w:rPr>
          <w:rFonts w:ascii="Times New Roman" w:cs="Times New Roman" w:eastAsia="Times New Roman" w:hAnsi="Times New Roman"/>
          <w:sz w:val="19"/>
          <w:szCs w:val="19"/>
          <w:color w:val="auto"/>
        </w:rPr>
        <w:t>” means, with respect to any specified Person, any indebtedness of such Person (excluding accrued expenses and Trade Payables), whether or not contingent: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00"/>
          </w:cols>
          <w:pgMar w:left="320" w:top="1440" w:right="379" w:bottom="1440" w:gutter="0" w:footer="0" w:header="0"/>
        </w:sectPr>
      </w:pPr>
    </w:p>
    <w:bookmarkStart w:id="29" w:name="page30"/>
    <w:bookmarkEnd w:id="29"/>
    <w:p>
      <w:pPr>
        <w:spacing w:after="0" w:line="148" w:lineRule="exact"/>
        <w:rPr>
          <w:sz w:val="20"/>
          <w:szCs w:val="20"/>
          <w:color w:val="auto"/>
        </w:rPr>
      </w:pPr>
    </w:p>
    <w:p>
      <w:pPr>
        <w:ind w:left="1700" w:hanging="422"/>
        <w:spacing w:after="0"/>
        <w:tabs>
          <w:tab w:leader="none" w:pos="17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borrowed money;</w:t>
      </w:r>
    </w:p>
    <w:p>
      <w:pPr>
        <w:spacing w:after="0" w:line="179" w:lineRule="exact"/>
        <w:rPr>
          <w:rFonts w:ascii="Times New Roman" w:cs="Times New Roman" w:eastAsia="Times New Roman" w:hAnsi="Times New Roman"/>
          <w:sz w:val="19"/>
          <w:szCs w:val="19"/>
          <w:color w:val="auto"/>
        </w:rPr>
      </w:pPr>
    </w:p>
    <w:p>
      <w:pPr>
        <w:ind w:left="640" w:right="200" w:firstLine="638"/>
        <w:spacing w:after="0" w:line="242" w:lineRule="auto"/>
        <w:tabs>
          <w:tab w:leader="none" w:pos="169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evidenced by bonds, notes, debentures or similar instruments or (b) constituting letters of credit (or reimbursement agreements in respect thereof) (other than obligations with respect to letters of credit securing obligations (other than obligations described in clauses (1), (2)(a), (3), (4) or (6) of this definition) entered into in the ordinary course of business of such Person to the extent such letters of credit are not drawn upon or, if and to the extent drawn upon, such drawing is reimbursed no later than the tenth Business Day following payment on the letter of credit);</w:t>
      </w:r>
    </w:p>
    <w:p>
      <w:pPr>
        <w:spacing w:after="0" w:line="157"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bankers’ acceptances;</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Finance Lease Obligations or Attributable Debt in respect of sale and leaseback transactions;</w:t>
      </w:r>
    </w:p>
    <w:p>
      <w:pPr>
        <w:spacing w:after="0" w:line="179" w:lineRule="exact"/>
        <w:rPr>
          <w:rFonts w:ascii="Times New Roman" w:cs="Times New Roman" w:eastAsia="Times New Roman" w:hAnsi="Times New Roman"/>
          <w:sz w:val="19"/>
          <w:szCs w:val="19"/>
          <w:color w:val="auto"/>
        </w:rPr>
      </w:pPr>
    </w:p>
    <w:p>
      <w:pPr>
        <w:ind w:left="640" w:right="160" w:firstLine="638"/>
        <w:spacing w:after="0" w:line="270" w:lineRule="auto"/>
        <w:tabs>
          <w:tab w:leader="none" w:pos="169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the balance deferred and unpaid of the purchase price of any property or services due more than six months after such property is acquired or such services are completed; or</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any Hedging Obligations,</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(including, with respect to any Production Payment, any warranties or guarantees of production or payment by such Person with respect to such Production Payment, but excluding other contractual obligations of such Person with respect to such Production Payment). Subject to the preceding sentence, neither Dollar-Denominated Production Payments nor Volumetric Production Payments shall be deemed to be Indebtedness.</w:t>
      </w:r>
    </w:p>
    <w:p>
      <w:pPr>
        <w:spacing w:after="0" w:line="147" w:lineRule="exact"/>
        <w:rPr>
          <w:sz w:val="20"/>
          <w:szCs w:val="20"/>
          <w:color w:val="auto"/>
        </w:rPr>
      </w:pPr>
    </w:p>
    <w:p>
      <w:pPr>
        <w:ind w:right="220" w:firstLine="636"/>
        <w:spacing w:after="0" w:line="270" w:lineRule="auto"/>
        <w:rPr>
          <w:sz w:val="20"/>
          <w:szCs w:val="20"/>
          <w:color w:val="auto"/>
        </w:rPr>
      </w:pPr>
      <w:r>
        <w:rPr>
          <w:rFonts w:ascii="Times New Roman" w:cs="Times New Roman" w:eastAsia="Times New Roman" w:hAnsi="Times New Roman"/>
          <w:sz w:val="19"/>
          <w:szCs w:val="19"/>
          <w:color w:val="auto"/>
        </w:rPr>
        <w:t>In addition, “Indebtedness” of any Person shall include Indebtedness described in the preceding paragraph that would not appear as a liability on the balance sheet of such Person if:</w:t>
      </w:r>
    </w:p>
    <w:p>
      <w:pPr>
        <w:spacing w:after="0" w:line="131" w:lineRule="exact"/>
        <w:rPr>
          <w:sz w:val="20"/>
          <w:szCs w:val="20"/>
          <w:color w:val="auto"/>
        </w:rPr>
      </w:pPr>
    </w:p>
    <w:p>
      <w:pPr>
        <w:ind w:left="1700" w:hanging="422"/>
        <w:spacing w:after="0"/>
        <w:tabs>
          <w:tab w:leader="none" w:pos="1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is the obligation of a partnership that is a Joint Venture;</w:t>
      </w:r>
    </w:p>
    <w:p>
      <w:pPr>
        <w:spacing w:after="0" w:line="190" w:lineRule="exact"/>
        <w:rPr>
          <w:rFonts w:ascii="Times New Roman" w:cs="Times New Roman" w:eastAsia="Times New Roman" w:hAnsi="Times New Roman"/>
          <w:sz w:val="19"/>
          <w:szCs w:val="19"/>
          <w:color w:val="auto"/>
        </w:rPr>
      </w:pPr>
    </w:p>
    <w:p>
      <w:pPr>
        <w:ind w:left="640" w:right="160" w:firstLine="638"/>
        <w:spacing w:after="0" w:line="273" w:lineRule="auto"/>
        <w:tabs>
          <w:tab w:leader="none" w:pos="1697"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or a Restricted Subsidiary of such Person is a general partner of the Joint Venture (a “</w:t>
      </w:r>
      <w:r>
        <w:rPr>
          <w:rFonts w:ascii="Times New Roman" w:cs="Times New Roman" w:eastAsia="Times New Roman" w:hAnsi="Times New Roman"/>
          <w:sz w:val="19"/>
          <w:szCs w:val="19"/>
          <w:i w:val="1"/>
          <w:iCs w:val="1"/>
          <w:color w:val="auto"/>
        </w:rPr>
        <w:t>Joint Venture General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Partner</w:t>
      </w:r>
      <w:r>
        <w:rPr>
          <w:rFonts w:ascii="Times New Roman" w:cs="Times New Roman" w:eastAsia="Times New Roman" w:hAnsi="Times New Roman"/>
          <w:sz w:val="19"/>
          <w:szCs w:val="19"/>
          <w:color w:val="auto"/>
        </w:rPr>
        <w:t>”); and</w:t>
      </w:r>
    </w:p>
    <w:p>
      <w:pPr>
        <w:spacing w:after="0" w:line="114" w:lineRule="exact"/>
        <w:rPr>
          <w:rFonts w:ascii="Times New Roman" w:cs="Times New Roman" w:eastAsia="Times New Roman" w:hAnsi="Times New Roman"/>
          <w:sz w:val="19"/>
          <w:szCs w:val="19"/>
          <w:color w:val="auto"/>
        </w:rPr>
      </w:pPr>
    </w:p>
    <w:p>
      <w:pPr>
        <w:ind w:left="640" w:firstLine="638"/>
        <w:spacing w:after="0" w:line="270" w:lineRule="auto"/>
        <w:tabs>
          <w:tab w:leader="none" w:pos="1697"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131" w:lineRule="exact"/>
        <w:rPr>
          <w:rFonts w:ascii="Times New Roman" w:cs="Times New Roman" w:eastAsia="Times New Roman" w:hAnsi="Times New Roman"/>
          <w:sz w:val="19"/>
          <w:szCs w:val="19"/>
          <w:color w:val="auto"/>
        </w:rPr>
      </w:pPr>
    </w:p>
    <w:p>
      <w:pPr>
        <w:ind w:left="1280" w:right="100" w:firstLine="634"/>
        <w:spacing w:after="0" w:line="251" w:lineRule="auto"/>
        <w:tabs>
          <w:tab w:leader="none" w:pos="232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lesser of (i) the net assets of the Joint Venture General Partner and (ii) the amount of such obligations to the extent that there is recourse, by contract or operation of law, to the property or assets of such Person or a Restricted Subsidiary of such Person; or</w:t>
      </w:r>
    </w:p>
    <w:p>
      <w:pPr>
        <w:spacing w:after="0" w:line="149" w:lineRule="exact"/>
        <w:rPr>
          <w:rFonts w:ascii="Times New Roman" w:cs="Times New Roman" w:eastAsia="Times New Roman" w:hAnsi="Times New Roman"/>
          <w:sz w:val="19"/>
          <w:szCs w:val="19"/>
          <w:color w:val="auto"/>
        </w:rPr>
      </w:pPr>
    </w:p>
    <w:p>
      <w:pPr>
        <w:ind w:left="1280" w:right="840" w:firstLine="634"/>
        <w:spacing w:after="0" w:line="270" w:lineRule="auto"/>
        <w:tabs>
          <w:tab w:leader="none" w:pos="2337"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less than the amount determined pursuant to clause (a) immediately above, the actual amount of such Indebtedness that is recourse to such Person or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8" w:lineRule="exact"/>
        <w:rPr>
          <w:sz w:val="20"/>
          <w:szCs w:val="20"/>
          <w:color w:val="auto"/>
        </w:rPr>
      </w:pPr>
    </w:p>
    <w:p>
      <w:pPr>
        <w:ind w:left="1280" w:right="300"/>
        <w:spacing w:after="0" w:line="251" w:lineRule="auto"/>
        <w:rPr>
          <w:sz w:val="20"/>
          <w:szCs w:val="20"/>
          <w:color w:val="auto"/>
        </w:rPr>
      </w:pPr>
      <w:r>
        <w:rPr>
          <w:rFonts w:ascii="Times New Roman" w:cs="Times New Roman" w:eastAsia="Times New Roman" w:hAnsi="Times New Roman"/>
          <w:sz w:val="19"/>
          <w:szCs w:val="19"/>
          <w:color w:val="auto"/>
        </w:rPr>
        <w:t>Restricted Subsidiary of such Person, if the Indebtedness is evidenced by a writing and is for a determinable amount and the related interest expense shall be included in Fixed Charges to the extent actually paid by such Person or its Restricted Subsidiaries.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Notwithstanding the foregoing, the following shall not in any event constitute “Indebtedness”:</w:t>
      </w:r>
    </w:p>
    <w:p>
      <w:pPr>
        <w:spacing w:after="0" w:line="192" w:lineRule="exact"/>
        <w:rPr>
          <w:sz w:val="20"/>
          <w:szCs w:val="20"/>
          <w:color w:val="auto"/>
        </w:rPr>
      </w:pPr>
    </w:p>
    <w:p>
      <w:pPr>
        <w:ind w:left="640" w:right="80" w:firstLine="638"/>
        <w:spacing w:after="0" w:line="245" w:lineRule="auto"/>
        <w:tabs>
          <w:tab w:leader="none" w:pos="169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which has been defeased or discharged in accordance with GAAP or defeased or discharged pursuant to the deposit of cash or Cash Equivalents (in an amount sufficient to satisfy all such indebtedness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154" w:lineRule="exact"/>
        <w:rPr>
          <w:rFonts w:ascii="Times New Roman" w:cs="Times New Roman" w:eastAsia="Times New Roman" w:hAnsi="Times New Roman"/>
          <w:sz w:val="19"/>
          <w:szCs w:val="19"/>
          <w:color w:val="auto"/>
        </w:rPr>
      </w:pPr>
    </w:p>
    <w:p>
      <w:pPr>
        <w:ind w:left="640" w:right="20" w:firstLine="638"/>
        <w:spacing w:after="0" w:line="242" w:lineRule="auto"/>
        <w:tabs>
          <w:tab w:leader="none" w:pos="169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obligation of a Person in respect of a farm-in agreement or similar arrangement whereby such Person agrees to pay all or a share of the drilling, completion or other expenses of an exploratory or development well (which agreement may be subject to maximum payment obligations,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144" w:lineRule="exact"/>
        <w:rPr>
          <w:rFonts w:ascii="Times New Roman" w:cs="Times New Roman" w:eastAsia="Times New Roman" w:hAnsi="Times New Roman"/>
          <w:sz w:val="19"/>
          <w:szCs w:val="19"/>
          <w:color w:val="auto"/>
        </w:rPr>
      </w:pPr>
    </w:p>
    <w:p>
      <w:pPr>
        <w:ind w:left="640" w:firstLine="638"/>
        <w:spacing w:after="0" w:line="270" w:lineRule="auto"/>
        <w:tabs>
          <w:tab w:leader="none" w:pos="169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unrealized losses or charges in respect of Interest Rate Agreements or Oil and Gas Hedging Contracts (including those resulting from the application of FASB ASC 815);</w:t>
      </w:r>
    </w:p>
    <w:p>
      <w:pPr>
        <w:spacing w:after="0" w:line="131" w:lineRule="exact"/>
        <w:rPr>
          <w:rFonts w:ascii="Times New Roman" w:cs="Times New Roman" w:eastAsia="Times New Roman" w:hAnsi="Times New Roman"/>
          <w:sz w:val="19"/>
          <w:szCs w:val="19"/>
          <w:color w:val="auto"/>
        </w:rPr>
      </w:pPr>
    </w:p>
    <w:p>
      <w:pPr>
        <w:ind w:left="640" w:firstLine="638"/>
        <w:spacing w:after="0" w:line="270" w:lineRule="auto"/>
        <w:tabs>
          <w:tab w:leader="none" w:pos="169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contracts and other obligations, agreements, instruments or arrangements described in clauses (10), (18) and (19) of the definition of “Permitted Liens”; and</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Management Obligations.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means this Indenture, as amended or supplemented from time to time.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Indirect Participant</w:t>
      </w:r>
      <w:r>
        <w:rPr>
          <w:rFonts w:ascii="Times New Roman" w:cs="Times New Roman" w:eastAsia="Times New Roman" w:hAnsi="Times New Roman"/>
          <w:sz w:val="19"/>
          <w:szCs w:val="19"/>
          <w:color w:val="auto"/>
        </w:rPr>
        <w:t>” means a Person who holds a beneficial interest in a Global Note through a Participant.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Initial Notes</w:t>
      </w:r>
      <w:r>
        <w:rPr>
          <w:rFonts w:ascii="Times New Roman" w:cs="Times New Roman" w:eastAsia="Times New Roman" w:hAnsi="Times New Roman"/>
          <w:sz w:val="19"/>
          <w:szCs w:val="19"/>
          <w:color w:val="auto"/>
        </w:rPr>
        <w:t>” means the first $600,000,000 aggregate principal amount of Notes issued under this Indenture on the Issue Date.</w:t>
      </w:r>
    </w:p>
    <w:p>
      <w:pPr>
        <w:spacing w:after="0" w:line="179" w:lineRule="exact"/>
        <w:rPr>
          <w:sz w:val="20"/>
          <w:szCs w:val="20"/>
          <w:color w:val="auto"/>
        </w:rPr>
      </w:pPr>
    </w:p>
    <w:p>
      <w:pPr>
        <w:ind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Initial Purchasers</w:t>
      </w:r>
      <w:r>
        <w:rPr>
          <w:rFonts w:ascii="Times New Roman" w:cs="Times New Roman" w:eastAsia="Times New Roman" w:hAnsi="Times New Roman"/>
          <w:sz w:val="19"/>
          <w:szCs w:val="19"/>
          <w:color w:val="auto"/>
        </w:rPr>
        <w:t>” means Citigroup Global Markets Inc., RBC Capital Markets, LLC, MUFG Securities Americas Inc., Jefferies LLC, Mizuho Securities USA LLC, KeyBanc Capital Markets Inc. and J.P. Morgan Securities LLC.</w:t>
      </w:r>
    </w:p>
    <w:p>
      <w:pPr>
        <w:spacing w:after="0" w:line="126" w:lineRule="exact"/>
        <w:rPr>
          <w:sz w:val="20"/>
          <w:szCs w:val="20"/>
          <w:color w:val="auto"/>
        </w:rPr>
      </w:pPr>
    </w:p>
    <w:p>
      <w:pPr>
        <w:ind w:right="46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Institutional Accredited Investor</w:t>
      </w:r>
      <w:r>
        <w:rPr>
          <w:rFonts w:ascii="Times New Roman" w:cs="Times New Roman" w:eastAsia="Times New Roman" w:hAnsi="Times New Roman"/>
          <w:sz w:val="19"/>
          <w:szCs w:val="19"/>
          <w:color w:val="auto"/>
        </w:rPr>
        <w:t>” means an institution that is an “accredited investor” as defined in Rule 501(a)(1), (2), (3) or (7) under the Securities Act that is not also a QIB.</w:t>
      </w:r>
    </w:p>
    <w:p>
      <w:pPr>
        <w:spacing w:after="0" w:line="126" w:lineRule="exact"/>
        <w:rPr>
          <w:sz w:val="20"/>
          <w:szCs w:val="20"/>
          <w:color w:val="auto"/>
        </w:rPr>
      </w:pPr>
    </w:p>
    <w:p>
      <w:pPr>
        <w:ind w:right="26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Interest Rate Agreement</w:t>
      </w:r>
      <w:r>
        <w:rPr>
          <w:rFonts w:ascii="Times New Roman" w:cs="Times New Roman" w:eastAsia="Times New Roman" w:hAnsi="Times New Roman"/>
          <w:sz w:val="19"/>
          <w:szCs w:val="19"/>
          <w:color w:val="auto"/>
        </w:rPr>
        <w:t>” means any interest rate swap agreement (whether from fixed to floating or from floating to fixed), interest rate cap agreement, interest rate collar agreement or other similar agreement or arrangement designed to protect the Issuer or any of its Restricted Subsidiaries against fluctuations in interest rates and is not for speculative purposes.</w:t>
      </w:r>
    </w:p>
    <w:p>
      <w:pPr>
        <w:spacing w:after="0" w:line="133" w:lineRule="exact"/>
        <w:rPr>
          <w:sz w:val="20"/>
          <w:szCs w:val="20"/>
          <w:color w:val="auto"/>
        </w:rPr>
      </w:pPr>
    </w:p>
    <w:p>
      <w:pPr>
        <w:ind w:right="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Investment</w:t>
      </w:r>
      <w:r>
        <w:rPr>
          <w:rFonts w:ascii="Times New Roman" w:cs="Times New Roman" w:eastAsia="Times New Roman" w:hAnsi="Times New Roman"/>
          <w:sz w:val="19"/>
          <w:szCs w:val="19"/>
          <w:color w:val="auto"/>
        </w:rPr>
        <w:t>” means, with respect to any Person, any direct or indirect investment by such Person in other Persons (including Affiliates) in the form of loans (including guarantees), advances or capital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contributions, and purchases or other acquisitions for consideration of Indebtedness, Equity Interests or other securities, together with all items that are or would be classified as investments on a balance sheet prepared in accordance with GAAP (excluding, in each case, (1) commission, travel and similar advances to officers and employees made in the ordinary course of business, (2) any interest in an oil or natural gas leasehold to the extent constituting a security under applicable law and (3) advances to customers in the ordinary course of business that are recorded as accounts receivable on the balance sheet of the lender, prepaid expenses or deposits and extensions of trade credit on commercially reasonable terms in accordance with normal trade practices). If the Issuer or any Restricted Subsidiary of the Issuer sells or otherwise disposes of any Equity Interests of any direct or indirect Restricted Subsidiary of the Issuer such that, after giving effect to any such sale or disposition, such Person is no longer a Restricted Subsidiary of the Issuer (other than the sale of all of the outstanding Capital Stock of such Subsidiary), the Issuer will be deemed to have made an Investment on the date of any such sale or disposition equal to the Fair Market Value of the Issuer’s Investments in such Subsidiary that were not sold or disposed of in an amount determined as provided in the penultimate paragraph of Section 4.07. The acquisition by the Issuer or any Restricted Subsidiary of the Issuer of a Person that holds an Investment in a third Person will be deemed to be an Investment by the Issuer or such Restricted Subsidiary in such third Person in an amount equal to the Fair Market Value of the Investments held by the acquired Person in such third Person in an amount determined as provided in the penultimate paragraph of Section 4.07. Except as otherwise provided in this Indenture, the amount of an Investment will be determined at the time the Investment is made and without giving effect to subsequent changes in value or write-ups, write-downs or write-offs with respect to such Investment.</w:t>
      </w:r>
    </w:p>
    <w:p>
      <w:pPr>
        <w:spacing w:after="0" w:line="155" w:lineRule="exact"/>
        <w:rPr>
          <w:sz w:val="20"/>
          <w:szCs w:val="20"/>
          <w:color w:val="auto"/>
        </w:rPr>
      </w:pPr>
    </w:p>
    <w:p>
      <w:pPr>
        <w:ind w:right="14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Investment Grade Rating</w:t>
      </w:r>
      <w:r>
        <w:rPr>
          <w:rFonts w:ascii="Times New Roman" w:cs="Times New Roman" w:eastAsia="Times New Roman" w:hAnsi="Times New Roman"/>
          <w:sz w:val="19"/>
          <w:szCs w:val="19"/>
          <w:color w:val="auto"/>
        </w:rPr>
        <w:t>” means a rating equal to or higher than Baa3 (or the equivalent) by Moody’s or BBB- (or the equivalent) by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Issue Date</w:t>
      </w:r>
      <w:r>
        <w:rPr>
          <w:rFonts w:ascii="Times New Roman" w:cs="Times New Roman" w:eastAsia="Times New Roman" w:hAnsi="Times New Roman"/>
          <w:sz w:val="19"/>
          <w:szCs w:val="19"/>
          <w:color w:val="auto"/>
        </w:rPr>
        <w:t>” means January 20, 2021.</w:t>
      </w:r>
    </w:p>
    <w:p>
      <w:pPr>
        <w:spacing w:after="0" w:line="192" w:lineRule="exact"/>
        <w:rPr>
          <w:sz w:val="20"/>
          <w:szCs w:val="20"/>
          <w:color w:val="auto"/>
        </w:rPr>
      </w:pPr>
    </w:p>
    <w:p>
      <w:pPr>
        <w:ind w:right="4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Joint Venture</w:t>
      </w:r>
      <w:r>
        <w:rPr>
          <w:rFonts w:ascii="Times New Roman" w:cs="Times New Roman" w:eastAsia="Times New Roman" w:hAnsi="Times New Roman"/>
          <w:sz w:val="19"/>
          <w:szCs w:val="19"/>
          <w:color w:val="auto"/>
        </w:rPr>
        <w:t>” means any Person that is not a direct or indirect Subsidiary of the Issuer in which the Issuer or any of its Restricted Subsidiaries makes any Investment.</w:t>
      </w:r>
    </w:p>
    <w:p>
      <w:pPr>
        <w:spacing w:after="0" w:line="112" w:lineRule="exact"/>
        <w:rPr>
          <w:sz w:val="20"/>
          <w:szCs w:val="20"/>
          <w:color w:val="auto"/>
        </w:rPr>
      </w:pPr>
    </w:p>
    <w:p>
      <w:pPr>
        <w:ind w:right="8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Legal Holiday</w:t>
      </w:r>
      <w:r>
        <w:rPr>
          <w:rFonts w:ascii="Times New Roman" w:cs="Times New Roman" w:eastAsia="Times New Roman" w:hAnsi="Times New Roman"/>
          <w:sz w:val="19"/>
          <w:szCs w:val="19"/>
          <w:color w:val="auto"/>
        </w:rPr>
        <w:t>” means a Saturday, a Sunday or a day on which banking institutions in the City of Los Angeles, California, the place of payment or the City of New York, New York are authorized by law, regulation or executive order to remain closed.</w:t>
      </w:r>
    </w:p>
    <w:p>
      <w:pPr>
        <w:spacing w:after="0" w:line="126" w:lineRule="exact"/>
        <w:rPr>
          <w:sz w:val="20"/>
          <w:szCs w:val="20"/>
          <w:color w:val="auto"/>
        </w:rPr>
      </w:pPr>
    </w:p>
    <w:p>
      <w:pPr>
        <w:ind w:right="200" w:firstLine="636"/>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Lien</w:t>
      </w:r>
      <w:r>
        <w:rPr>
          <w:rFonts w:ascii="Times New Roman" w:cs="Times New Roman" w:eastAsia="Times New Roman" w:hAnsi="Times New Roman"/>
          <w:sz w:val="19"/>
          <w:szCs w:val="19"/>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57" w:lineRule="exact"/>
        <w:rPr>
          <w:sz w:val="20"/>
          <w:szCs w:val="20"/>
          <w:color w:val="auto"/>
        </w:rPr>
      </w:pPr>
    </w:p>
    <w:p>
      <w:pPr>
        <w:ind w:right="280" w:firstLine="636"/>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Midstream and Infrastructure Assets</w:t>
      </w:r>
      <w:r>
        <w:rPr>
          <w:rFonts w:ascii="Times New Roman" w:cs="Times New Roman" w:eastAsia="Times New Roman" w:hAnsi="Times New Roman"/>
          <w:sz w:val="19"/>
          <w:szCs w:val="19"/>
          <w:color w:val="auto"/>
        </w:rPr>
        <w:t>” means (i) assets (other than cash and Cash Equivalents) used primarily for gathering, distributing, marketing, selling, treating, processing, transmission, compression, fractionation, dehydration, sourcing, disposal, stabilization, treatment, transporting of, or storage, disposal, or other handling of, Hydrocarbons, water, carbon dioxide, sand, minerals, chemicals or other products or substances commonly created, used, recovered, produced or processed in the conduct of the Oil and Gas Business, including compression, pumping, treatment and disposal facilities, gathering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lines and systems, and other assets commonly considered midstream assets or useful in connection with the conduct of midstream operations,</w:t>
      </w:r>
    </w:p>
    <w:p>
      <w:pPr>
        <w:spacing w:after="0" w:line="16" w:lineRule="exact"/>
        <w:rPr>
          <w:sz w:val="20"/>
          <w:szCs w:val="20"/>
          <w:color w:val="auto"/>
        </w:rPr>
      </w:pPr>
    </w:p>
    <w:p>
      <w:pPr>
        <w:jc w:val="center"/>
        <w:ind w:right="100" w:firstLine="6"/>
        <w:spacing w:after="0" w:line="232" w:lineRule="auto"/>
        <w:tabs>
          <w:tab w:leader="none" w:pos="28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 and cogeneration facilities, steam flood facilities, carbon capture and sequestration facilities, and any infrastructure or fixtures or assets related thereto, including machinery, valves, engines, boilers, tanks, parts, fittings, lines, cables, towers, rights of way and easements and</w:t>
      </w:r>
    </w:p>
    <w:p>
      <w:pPr>
        <w:spacing w:after="0" w:line="1" w:lineRule="exact"/>
        <w:rPr>
          <w:rFonts w:ascii="Times New Roman" w:cs="Times New Roman" w:eastAsia="Times New Roman" w:hAnsi="Times New Roman"/>
          <w:sz w:val="19"/>
          <w:szCs w:val="19"/>
          <w:color w:val="auto"/>
        </w:rPr>
      </w:pPr>
    </w:p>
    <w:p>
      <w:pPr>
        <w:ind w:right="120" w:firstLine="6"/>
        <w:spacing w:after="0" w:line="239" w:lineRule="auto"/>
        <w:tabs>
          <w:tab w:leader="none" w:pos="3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Interests of any Person if (a) all or substantially all of the assets of such Person consist of or will consist of assets described in clauses (i) or (ii) above or (b) all or substantially all of such Person’s business is ownership of, operation of, construction or development of, or direct or indirect investment in, such assets.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Moody’s</w:t>
      </w:r>
      <w:r>
        <w:rPr>
          <w:rFonts w:ascii="Times New Roman" w:cs="Times New Roman" w:eastAsia="Times New Roman" w:hAnsi="Times New Roman"/>
          <w:sz w:val="19"/>
          <w:szCs w:val="19"/>
          <w:color w:val="auto"/>
        </w:rPr>
        <w:t>” means Moody’s Investors Service, Inc. and any successor to the ratings business thereof.</w:t>
      </w:r>
    </w:p>
    <w:p>
      <w:pPr>
        <w:spacing w:after="0" w:line="192" w:lineRule="exact"/>
        <w:rPr>
          <w:sz w:val="20"/>
          <w:szCs w:val="20"/>
          <w:color w:val="auto"/>
        </w:rPr>
      </w:pPr>
    </w:p>
    <w:p>
      <w:pPr>
        <w:ind w:right="20" w:firstLine="636"/>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Net Proceeds</w:t>
      </w:r>
      <w:r>
        <w:rPr>
          <w:rFonts w:ascii="Times New Roman" w:cs="Times New Roman" w:eastAsia="Times New Roman" w:hAnsi="Times New Roman"/>
          <w:sz w:val="19"/>
          <w:szCs w:val="19"/>
          <w:color w:val="auto"/>
        </w:rPr>
        <w:t>” means the aggregate cash proceeds and Cash Equivalents received by the Issuer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for purposes Section 4.10), net of (i) the costs relating to such Asset Sale, including, without limitation, legal, title and recording expenses, accounting and investment banking fees, and sales commissions, (ii) distributions and other payments required to be made to minority interest holders in Subsidiaries or joint ventures as a result of such Asset Sale, (iii) any relocation expenses and severance and associated costs, expenses and charges of personnel relating to the assets subject to or incurred as a result of the Asset Sale, (iv) taxes paid or payable as a result of the Asset Sale, in each case, after taking into account any available tax credits or deductions and any tax sharing arrangements, (v) amounts required to be applied to the repayment of Indebtedness (other than revolving credit Indebtedness under a Credit Facility that is secured by a Lien on the asset or assets that were the subject of such Asset Sale), and (vi) any reserve for adjustment or indemnification obligations in respect of the sale price of such asset or assets established in accordance with GAAP.</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Non-Recourse Debt</w:t>
      </w:r>
      <w:r>
        <w:rPr>
          <w:rFonts w:ascii="Times New Roman" w:cs="Times New Roman" w:eastAsia="Times New Roman" w:hAnsi="Times New Roman"/>
          <w:sz w:val="19"/>
          <w:szCs w:val="19"/>
          <w:color w:val="auto"/>
        </w:rPr>
        <w:t>” means, with respect to Indebtedness of any Unrestricted Subsidiary or Joint Venture, Indebtedness:</w:t>
      </w:r>
    </w:p>
    <w:p>
      <w:pPr>
        <w:spacing w:after="0" w:line="181" w:lineRule="exact"/>
        <w:rPr>
          <w:sz w:val="20"/>
          <w:szCs w:val="20"/>
          <w:color w:val="auto"/>
        </w:rPr>
      </w:pPr>
    </w:p>
    <w:p>
      <w:pPr>
        <w:ind w:left="640" w:right="140" w:firstLine="638"/>
        <w:spacing w:after="0" w:line="245" w:lineRule="auto"/>
        <w:tabs>
          <w:tab w:leader="none" w:pos="169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neither the Issuer nor any of its Restricted Subsidiaries (a) provides credit support under any undertaking, agreement or instrument that would constitute Indebtedness or (b) is directly or indirectly liable as a guarantor or otherwise, except for Customary Recourse Exceptions and except by the pledge of (or a guarantee limited in recourse solely to) the Equity Interests of such Unrestricted Subsidiary or Joint Venture; and</w:t>
      </w:r>
    </w:p>
    <w:p>
      <w:pPr>
        <w:spacing w:after="0" w:line="154" w:lineRule="exact"/>
        <w:rPr>
          <w:rFonts w:ascii="Times New Roman" w:cs="Times New Roman" w:eastAsia="Times New Roman" w:hAnsi="Times New Roman"/>
          <w:sz w:val="19"/>
          <w:szCs w:val="19"/>
          <w:color w:val="auto"/>
        </w:rPr>
      </w:pPr>
    </w:p>
    <w:p>
      <w:pPr>
        <w:ind w:left="640" w:right="540" w:firstLine="638"/>
        <w:spacing w:after="0" w:line="251" w:lineRule="auto"/>
        <w:tabs>
          <w:tab w:leader="none" w:pos="169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the lenders will not have any recourse to the Capital Stock or assets of the Issuer or any of its Restricted Subsidiaries (other than the Equity Interests of such Unrestricted Subsidiary or Joint Venture), except for Customary Recourse Exceptions.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Non-U.S. Person</w:t>
      </w:r>
      <w:r>
        <w:rPr>
          <w:rFonts w:ascii="Times New Roman" w:cs="Times New Roman" w:eastAsia="Times New Roman" w:hAnsi="Times New Roman"/>
          <w:sz w:val="19"/>
          <w:szCs w:val="19"/>
          <w:color w:val="auto"/>
        </w:rPr>
        <w:t>” means a Person who is not a U.S. Person.</w:t>
      </w:r>
    </w:p>
    <w:p>
      <w:pPr>
        <w:spacing w:after="0" w:line="179"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47" w:lineRule="exact"/>
        <w:rPr>
          <w:sz w:val="20"/>
          <w:szCs w:val="20"/>
          <w:color w:val="auto"/>
        </w:rPr>
      </w:pPr>
    </w:p>
    <w:p>
      <w:pPr>
        <w:ind w:right="32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Obligations</w:t>
      </w:r>
      <w:r>
        <w:rPr>
          <w:rFonts w:ascii="Times New Roman" w:cs="Times New Roman" w:eastAsia="Times New Roman" w:hAnsi="Times New Roman"/>
          <w:sz w:val="19"/>
          <w:szCs w:val="19"/>
          <w:color w:val="auto"/>
        </w:rPr>
        <w:t>” means any principal, interest, penalties, fees, indemnifications, reimbursements, damages and other liabilities payable under the documentation governing any Indebtedness.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Offering Memorandum</w:t>
      </w:r>
      <w:r>
        <w:rPr>
          <w:rFonts w:ascii="Times New Roman" w:cs="Times New Roman" w:eastAsia="Times New Roman" w:hAnsi="Times New Roman"/>
          <w:sz w:val="19"/>
          <w:szCs w:val="19"/>
          <w:color w:val="auto"/>
        </w:rPr>
        <w:t>” means the offering memorandum of the Issuer dated January 14, 2021 relating to the issuance of the Initial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Notes.</w:t>
      </w:r>
    </w:p>
    <w:p>
      <w:pPr>
        <w:spacing w:after="0" w:line="155" w:lineRule="exact"/>
        <w:rPr>
          <w:sz w:val="20"/>
          <w:szCs w:val="20"/>
          <w:color w:val="auto"/>
        </w:rPr>
      </w:pPr>
    </w:p>
    <w:p>
      <w:pPr>
        <w:ind w:right="20" w:firstLine="63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Officer</w:t>
      </w:r>
      <w:r>
        <w:rPr>
          <w:rFonts w:ascii="Times New Roman" w:cs="Times New Roman" w:eastAsia="Times New Roman" w:hAnsi="Times New Roman"/>
          <w:sz w:val="19"/>
          <w:szCs w:val="19"/>
          <w:color w:val="auto"/>
        </w:rPr>
        <w:t>” means, with respect to any Person, the Chairman of the Board, the Chief Executive Officer, the President, the Chief Operating Officer, the Chief Financial Officer, the Chief Accounting Officer, the Treasurer, any Assistant Treasurer, the Controller, the Secretary, any Assistant Secretary or any Vice President of such Person (or, if such Person is a limited partnership, the Chairman of the Board, the Chief Executive Officer, the President, the Chief Operating Officer, the Chief Financial Officer, the Chief Accounting Officer, the Treasurer, any Assistant Treasurer, the Controller, the Secretary, any Assistant Secretary, any Vice President or any Assistant Vice President of such Person’s general partner).</w:t>
      </w:r>
    </w:p>
    <w:p>
      <w:pPr>
        <w:spacing w:after="0" w:line="160" w:lineRule="exact"/>
        <w:rPr>
          <w:sz w:val="20"/>
          <w:szCs w:val="20"/>
          <w:color w:val="auto"/>
        </w:rPr>
      </w:pPr>
    </w:p>
    <w:p>
      <w:pPr>
        <w:ind w:right="48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Officers’ Certificate</w:t>
      </w:r>
      <w:r>
        <w:rPr>
          <w:rFonts w:ascii="Times New Roman" w:cs="Times New Roman" w:eastAsia="Times New Roman" w:hAnsi="Times New Roman"/>
          <w:sz w:val="19"/>
          <w:szCs w:val="19"/>
          <w:color w:val="auto"/>
        </w:rPr>
        <w:t>” means a certificate signed on behalf of the Issuer by two of its Officers, one of whom must be the principal executive officer, the principal financial officer or the principal accounting officer, that meets the requirements of Section 12.05.</w:t>
      </w:r>
    </w:p>
    <w:p>
      <w:pPr>
        <w:spacing w:after="0" w:line="126" w:lineRule="exact"/>
        <w:rPr>
          <w:sz w:val="20"/>
          <w:szCs w:val="20"/>
          <w:color w:val="auto"/>
        </w:rPr>
      </w:pPr>
    </w:p>
    <w:p>
      <w:pPr>
        <w:ind w:right="60" w:firstLine="636"/>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Oil and Gas Business</w:t>
      </w:r>
      <w:r>
        <w:rPr>
          <w:rFonts w:ascii="Times New Roman" w:cs="Times New Roman" w:eastAsia="Times New Roman" w:hAnsi="Times New Roman"/>
          <w:sz w:val="19"/>
          <w:szCs w:val="19"/>
          <w:color w:val="auto"/>
        </w:rPr>
        <w:t>” means (i) the acquisition, exploration, development, production, operation and disposition of interests in oil, gas and other Hydrocarbon properties, (ii) the gathering, marketing, treating, processing, storage, selling and transporting of any production from such interests or properties, (iii) power generation or cogeneration and distribution of power and related activities, carbon capture and sequestration and related activities, (iv) any business relating to exploration for or development, production, treatment, processing, storage, transportation or marketing of oil, gas and other minerals and products produced in association therewith, including steam and water, (v) any other activities conducted by the Issuer and its Subsidiaries on the Issue Date and (vi) any activity that, as determined in good faith by the Issuer, arises from, relates to or is ancillary, complementary or incidental to or necessary or appropriate for the activities described in clauses (i) through (v) of this definition.</w:t>
      </w:r>
    </w:p>
    <w:p>
      <w:pPr>
        <w:spacing w:after="0" w:line="148" w:lineRule="exact"/>
        <w:rPr>
          <w:sz w:val="20"/>
          <w:szCs w:val="20"/>
          <w:color w:val="auto"/>
        </w:rPr>
      </w:pPr>
    </w:p>
    <w:p>
      <w:pPr>
        <w:ind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Oil and Gas Hedging Contracts</w:t>
      </w:r>
      <w:r>
        <w:rPr>
          <w:rFonts w:ascii="Times New Roman" w:cs="Times New Roman" w:eastAsia="Times New Roman" w:hAnsi="Times New Roman"/>
          <w:sz w:val="19"/>
          <w:szCs w:val="19"/>
          <w:color w:val="auto"/>
        </w:rPr>
        <w:t>” means any puts, cap transactions, floor transactions, collar transactions, forward contract, commodity swap agreement, commodity option agreement or other similar agreement or arrangement in respect of Hydrocarbons to be purchased, used, produced, processed or sold by the Issuer or any of its Restricted Subsidiary that are customary in the Oil and Gas Business and designed to protect against or manage price risks, basis risks or other risks encountered in the Oil and Gas Business and not for speculative purposes.</w:t>
      </w:r>
    </w:p>
    <w:p>
      <w:pPr>
        <w:spacing w:after="0" w:line="151" w:lineRule="exact"/>
        <w:rPr>
          <w:sz w:val="20"/>
          <w:szCs w:val="20"/>
          <w:color w:val="auto"/>
        </w:rPr>
      </w:pPr>
    </w:p>
    <w:p>
      <w:pPr>
        <w:jc w:val="both"/>
        <w:ind w:right="8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Oil and Gas Properties</w:t>
      </w:r>
      <w:r>
        <w:rPr>
          <w:rFonts w:ascii="Times New Roman" w:cs="Times New Roman" w:eastAsia="Times New Roman" w:hAnsi="Times New Roman"/>
          <w:sz w:val="19"/>
          <w:szCs w:val="19"/>
          <w:color w:val="auto"/>
        </w:rPr>
        <w:t>” means all properties, including equity or other ownership interest therein, owned by such Person or any of its Restricted Subsidiaries which contain or are believed to contain “proved oil and gas reserves” as defined in Rule 4-10 of Regulation S-X of the Securities Act.</w:t>
      </w:r>
    </w:p>
    <w:p>
      <w:pPr>
        <w:spacing w:after="0" w:line="147" w:lineRule="exact"/>
        <w:rPr>
          <w:sz w:val="20"/>
          <w:szCs w:val="20"/>
          <w:color w:val="auto"/>
        </w:rPr>
      </w:pPr>
    </w:p>
    <w:p>
      <w:pPr>
        <w:ind w:right="10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Opinion of Counsel</w:t>
      </w:r>
      <w:r>
        <w:rPr>
          <w:rFonts w:ascii="Times New Roman" w:cs="Times New Roman" w:eastAsia="Times New Roman" w:hAnsi="Times New Roman"/>
          <w:sz w:val="19"/>
          <w:szCs w:val="19"/>
          <w:color w:val="auto"/>
        </w:rPr>
        <w:t>” means an opinion from legal counsel who is reasonably acceptable to the Trustee, that meets the requirements of Section 12.04, which counsel may be an employee of or counsel to the Issuer, any Subsidiary of the Issuer or the Trustee.</w:t>
      </w:r>
    </w:p>
    <w:p>
      <w:pPr>
        <w:spacing w:after="0" w:line="112" w:lineRule="exact"/>
        <w:rPr>
          <w:sz w:val="20"/>
          <w:szCs w:val="20"/>
          <w:color w:val="auto"/>
        </w:rPr>
      </w:pPr>
    </w:p>
    <w:p>
      <w:pPr>
        <w:ind w:right="56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26" w:lineRule="exact"/>
        <w:rPr>
          <w:sz w:val="20"/>
          <w:szCs w:val="20"/>
          <w:color w:val="auto"/>
        </w:rPr>
      </w:pPr>
    </w:p>
    <w:p>
      <w:pPr>
        <w:ind w:right="20" w:firstLine="636"/>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Acquisition Indebtedness</w:t>
      </w:r>
      <w:r>
        <w:rPr>
          <w:rFonts w:ascii="Times New Roman" w:cs="Times New Roman" w:eastAsia="Times New Roman" w:hAnsi="Times New Roman"/>
          <w:sz w:val="19"/>
          <w:szCs w:val="19"/>
          <w:color w:val="auto"/>
        </w:rPr>
        <w:t>” means Indebtedness or Disqualified Stock or Preferred Stock of the Issuer or any of its Restricted Subsidiaries to the extent such Indebtedness or Disqualified Stock or Preferred Stock (i) was Indebtedness or Disqualified Stock or Preferred Stock of any other Person existing at the time (a) such Person became a Restricted Subsidiary of the Issuer or (b) such Person was merged or consolidated with or into the Issuer or any of its Restricted Subsidiaries, or (ii) is incurred in contemplation of the foregoing, provided that on the date such Person became a Restricted Subsidiary or the date such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 was merged or consolidated with or into the Issuer or any of its Restricted Subsidiaries, as applicable, either of:</w:t>
      </w:r>
    </w:p>
    <w:p>
      <w:pPr>
        <w:spacing w:after="0" w:line="179" w:lineRule="exact"/>
        <w:rPr>
          <w:sz w:val="20"/>
          <w:szCs w:val="20"/>
          <w:color w:val="auto"/>
        </w:rPr>
      </w:pPr>
    </w:p>
    <w:p>
      <w:pPr>
        <w:ind w:left="640" w:right="140" w:firstLine="638"/>
        <w:spacing w:after="0" w:line="245" w:lineRule="auto"/>
        <w:tabs>
          <w:tab w:leader="none" w:pos="169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transaction and any related financing transaction on a pro forma basis as if the same had occurred at the beginning of the applicable four-quarter period, the Issuer or such Person (if the Issuer is not the survivor in the transaction) would be permitted to incur at least $1.00 of additional Indebtedness pursuant to the Fixed Charge Coverage Ratio test set forth in Section 4.09(a); or</w:t>
      </w:r>
    </w:p>
    <w:p>
      <w:pPr>
        <w:spacing w:after="0" w:line="154" w:lineRule="exact"/>
        <w:rPr>
          <w:rFonts w:ascii="Times New Roman" w:cs="Times New Roman" w:eastAsia="Times New Roman" w:hAnsi="Times New Roman"/>
          <w:sz w:val="19"/>
          <w:szCs w:val="19"/>
          <w:color w:val="auto"/>
        </w:rPr>
      </w:pPr>
    </w:p>
    <w:p>
      <w:pPr>
        <w:ind w:left="640" w:firstLine="638"/>
        <w:spacing w:after="0" w:line="245" w:lineRule="auto"/>
        <w:tabs>
          <w:tab w:leader="none" w:pos="169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transaction and any related financing transaction on a pro forma basis as if the same had occurred at the beginning of the applicable four-quarter period, the Fixed Charge Coverage Ratio of the Issuer or such Person (if the Issuer is not the survivor in the transaction) is equal to or greater than the Fixed Charge Coverage Ratio of the Issuer immediately prior to such transaction.</w:t>
      </w:r>
    </w:p>
    <w:p>
      <w:pPr>
        <w:spacing w:after="0" w:line="153" w:lineRule="exact"/>
        <w:rPr>
          <w:sz w:val="20"/>
          <w:szCs w:val="20"/>
          <w:color w:val="auto"/>
        </w:rPr>
      </w:pPr>
    </w:p>
    <w:p>
      <w:pPr>
        <w:ind w:right="40" w:firstLine="63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Business Investments</w:t>
      </w:r>
      <w:r>
        <w:rPr>
          <w:rFonts w:ascii="Times New Roman" w:cs="Times New Roman" w:eastAsia="Times New Roman" w:hAnsi="Times New Roman"/>
          <w:sz w:val="19"/>
          <w:szCs w:val="19"/>
          <w:color w:val="auto"/>
        </w:rPr>
        <w:t>” means Investments made in the ordinary course of, and of a nature that is or shall have become customary in, the Oil and Gas Business as a means of actively exploiting, exploring for, acquiring, developing, processing, gathering, marketing or transporting oil and natural gas through agreements, transactions, interests or arrangements which permit one to share risks or costs, comply with regulatory requirements regarding local ownership or satisfy other objectives customarily achieved through the conduct of Oil and Gas Business jointly with third parties, including, without limitation, (i) ownership interests in oil, natural gas, other Hydrocarbon properties or any interest therein or gathering, transportation, processing, storage or related systems, (ii) Investments in the form of or pursuant to operating agreements, working interests, royalty interests, mineral interests, processing agreements, farm-in agreements, farm-out agreements, development agreements, area of mutual interest agreements, unitization agreements, pooling agreements, joint bidding agreements, service contracts, joint venture agreements, partnership agreements (whether general or limited), limited liability company agreements, trust agreements, subscription agreements, stock purchase agreements and other similar or customary agreements with third parties, (iii) Investments in the form of mineral leases, production sharing agreements, production sales and marketing agreements, oil or gas leases, overriding royalty agreements, net profits agreements, production payment agreements or royalty trust agreements with third parties, (iv) Investments of operating funds on behalf of co-owners of properties used in the Oil and Gas Business of the Issuer or its Restricted Subsidiaries pursuant to joint operating agreements, and (v) direct or indirect ownership interests in drilling rigs, fracturing units and other equipment used in the Oil and Gas Business or in Persons that own or provide such equipment.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Investments</w:t>
      </w:r>
      <w:r>
        <w:rPr>
          <w:rFonts w:ascii="Times New Roman" w:cs="Times New Roman" w:eastAsia="Times New Roman" w:hAnsi="Times New Roman"/>
          <w:sz w:val="19"/>
          <w:szCs w:val="19"/>
          <w:color w:val="auto"/>
        </w:rPr>
        <w:t>” means:</w:t>
      </w:r>
    </w:p>
    <w:p>
      <w:pPr>
        <w:spacing w:after="0" w:line="194" w:lineRule="exact"/>
        <w:rPr>
          <w:sz w:val="20"/>
          <w:szCs w:val="20"/>
          <w:color w:val="auto"/>
        </w:rPr>
      </w:pPr>
    </w:p>
    <w:p>
      <w:pPr>
        <w:ind w:left="640" w:right="800" w:firstLine="638"/>
        <w:spacing w:after="0" w:line="270" w:lineRule="auto"/>
        <w:tabs>
          <w:tab w:leader="none" w:pos="1697"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the Issuer (including, without limitation, through the purchase of any Notes) or in a Restricted Subsidiary of the Issuer;</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cash and Cash Equivalents;</w:t>
      </w:r>
    </w:p>
    <w:p>
      <w:pPr>
        <w:spacing w:after="0" w:line="17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by the Issuer or any Restricted Subsidiary of the Issuer in a Person, if as a result of such Investment:</w:t>
      </w:r>
    </w:p>
    <w:p>
      <w:pPr>
        <w:spacing w:after="0" w:line="192" w:lineRule="exact"/>
        <w:rPr>
          <w:rFonts w:ascii="Times New Roman" w:cs="Times New Roman" w:eastAsia="Times New Roman" w:hAnsi="Times New Roman"/>
          <w:sz w:val="19"/>
          <w:szCs w:val="19"/>
          <w:color w:val="auto"/>
        </w:rPr>
      </w:pPr>
    </w:p>
    <w:p>
      <w:pPr>
        <w:ind w:left="2320" w:hanging="406"/>
        <w:spacing w:after="0"/>
        <w:tabs>
          <w:tab w:leader="none" w:pos="232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becomes a Restricted Subsidiary of the Issuer; or</w:t>
      </w:r>
    </w:p>
    <w:p>
      <w:pPr>
        <w:spacing w:after="0" w:line="192" w:lineRule="exact"/>
        <w:rPr>
          <w:rFonts w:ascii="Times New Roman" w:cs="Times New Roman" w:eastAsia="Times New Roman" w:hAnsi="Times New Roman"/>
          <w:sz w:val="19"/>
          <w:szCs w:val="19"/>
          <w:color w:val="auto"/>
        </w:rPr>
      </w:pPr>
    </w:p>
    <w:p>
      <w:pPr>
        <w:ind w:left="1280" w:right="260" w:firstLine="634"/>
        <w:spacing w:after="0" w:line="270" w:lineRule="auto"/>
        <w:tabs>
          <w:tab w:leader="none" w:pos="2337"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is merged, consolidated or amalgamated with or into, or transfers or conveys substantially all of its properties or assets to, or is liquidated into, the Issuer or a Restricted Subsidiary of the Issuer;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8" w:lineRule="exact"/>
        <w:rPr>
          <w:sz w:val="20"/>
          <w:szCs w:val="20"/>
          <w:color w:val="auto"/>
        </w:rPr>
      </w:pPr>
    </w:p>
    <w:p>
      <w:pPr>
        <w:ind w:right="20" w:firstLine="638"/>
        <w:spacing w:after="0" w:line="270" w:lineRule="auto"/>
        <w:tabs>
          <w:tab w:leader="none" w:pos="1057"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made as a result of the receipt of non-cash consideration from an Asset Sale or Asset Swap that was made pursuant to and in compliance with Section 4.10;</w:t>
      </w:r>
    </w:p>
    <w:p>
      <w:pPr>
        <w:spacing w:after="0" w:line="117" w:lineRule="exact"/>
        <w:rPr>
          <w:rFonts w:ascii="Times New Roman" w:cs="Times New Roman" w:eastAsia="Times New Roman" w:hAnsi="Times New Roman"/>
          <w:sz w:val="19"/>
          <w:szCs w:val="19"/>
          <w:color w:val="auto"/>
        </w:rPr>
      </w:pPr>
    </w:p>
    <w:p>
      <w:pPr>
        <w:jc w:val="both"/>
        <w:ind w:right="20" w:firstLine="638"/>
        <w:spacing w:after="0" w:line="244" w:lineRule="auto"/>
        <w:tabs>
          <w:tab w:leader="none" w:pos="1057"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acquisition of assets or Capital Stock solely in exchange for the issuance of, or with or out of the net cash proceeds of the substantially concurrent (a) contribution (other than from a Restricted Subsidiary) to the equity capital of the Issuer in respect of or</w:t>
      </w:r>
    </w:p>
    <w:p>
      <w:pPr>
        <w:spacing w:after="0" w:line="1" w:lineRule="exact"/>
        <w:rPr>
          <w:rFonts w:ascii="Times New Roman" w:cs="Times New Roman" w:eastAsia="Times New Roman" w:hAnsi="Times New Roman"/>
          <w:sz w:val="19"/>
          <w:szCs w:val="19"/>
          <w:color w:val="auto"/>
        </w:rPr>
      </w:pPr>
    </w:p>
    <w:p>
      <w:pPr>
        <w:ind w:right="220" w:firstLine="2"/>
        <w:spacing w:after="0" w:line="246" w:lineRule="auto"/>
        <w:tabs>
          <w:tab w:leader="none" w:pos="275"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 (other than to a Restricted Subsidiary) of, Equity Interests (other than Disqualified Stock) of the Issuer; provided that in each such case, the amount of such issuance, contribution or sale will be disregarded for purposes of clause (C)(ii) of Section 4.07(a);</w:t>
      </w:r>
    </w:p>
    <w:p>
      <w:pPr>
        <w:spacing w:after="0" w:line="152" w:lineRule="exact"/>
        <w:rPr>
          <w:rFonts w:ascii="Times New Roman" w:cs="Times New Roman" w:eastAsia="Times New Roman" w:hAnsi="Times New Roman"/>
          <w:sz w:val="19"/>
          <w:szCs w:val="19"/>
          <w:color w:val="auto"/>
        </w:rPr>
      </w:pPr>
    </w:p>
    <w:p>
      <w:pPr>
        <w:jc w:val="both"/>
        <w:ind w:firstLine="638"/>
        <w:spacing w:after="0" w:line="251" w:lineRule="auto"/>
        <w:tabs>
          <w:tab w:leader="none" w:pos="105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w:t>
      </w:r>
    </w:p>
    <w:p>
      <w:pPr>
        <w:spacing w:after="0" w:line="149"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represented by Hedging Obligations;</w:t>
      </w:r>
    </w:p>
    <w:p>
      <w:pPr>
        <w:spacing w:after="0" w:line="179" w:lineRule="exact"/>
        <w:rPr>
          <w:rFonts w:ascii="Times New Roman" w:cs="Times New Roman" w:eastAsia="Times New Roman" w:hAnsi="Times New Roman"/>
          <w:sz w:val="19"/>
          <w:szCs w:val="19"/>
          <w:color w:val="auto"/>
        </w:rPr>
      </w:pPr>
    </w:p>
    <w:p>
      <w:pPr>
        <w:ind w:right="40" w:firstLine="638"/>
        <w:spacing w:after="0" w:line="251" w:lineRule="auto"/>
        <w:tabs>
          <w:tab w:leader="none" w:pos="105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any Person to the extent such Investments consist of prepaid expenses, negotiable instruments held for collection and lease, utility and workers’ compensation, performance and other deposits made in the ordinary course of business by the Issuer or any of its Restricted Subsidiaries;</w:t>
      </w:r>
    </w:p>
    <w:p>
      <w:pPr>
        <w:spacing w:after="0" w:line="149" w:lineRule="exact"/>
        <w:rPr>
          <w:rFonts w:ascii="Times New Roman" w:cs="Times New Roman" w:eastAsia="Times New Roman" w:hAnsi="Times New Roman"/>
          <w:sz w:val="19"/>
          <w:szCs w:val="19"/>
          <w:color w:val="auto"/>
        </w:rPr>
      </w:pPr>
    </w:p>
    <w:p>
      <w:pPr>
        <w:ind w:right="540" w:firstLine="638"/>
        <w:spacing w:after="0" w:line="270" w:lineRule="auto"/>
        <w:tabs>
          <w:tab w:leader="none" w:pos="105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relocation allowances for, and loans or advances to, officers, directors or employees made in the ordinary course of business of the Issuer or any Restricted Subsidiary of the Issuer;</w:t>
      </w:r>
    </w:p>
    <w:p>
      <w:pPr>
        <w:spacing w:after="0" w:line="131"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repurchases of the Notes or Guarantees;</w:t>
      </w:r>
    </w:p>
    <w:p>
      <w:pPr>
        <w:spacing w:after="0" w:line="179" w:lineRule="exact"/>
        <w:rPr>
          <w:rFonts w:ascii="Times New Roman" w:cs="Times New Roman" w:eastAsia="Times New Roman" w:hAnsi="Times New Roman"/>
          <w:sz w:val="19"/>
          <w:szCs w:val="19"/>
          <w:color w:val="auto"/>
        </w:rPr>
      </w:pPr>
    </w:p>
    <w:p>
      <w:pPr>
        <w:ind w:right="60" w:firstLine="638"/>
        <w:spacing w:after="0" w:line="270" w:lineRule="auto"/>
        <w:tabs>
          <w:tab w:leader="none" w:pos="114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guarantee of Indebtedness of (a) the Issuer or a Restricted Subsidiary or (b) any Person that is not an Affiliate of the Issuer, in each case permitted to be incurred by Section 4.09;</w:t>
      </w:r>
    </w:p>
    <w:p>
      <w:pPr>
        <w:spacing w:after="0" w:line="131" w:lineRule="exact"/>
        <w:rPr>
          <w:rFonts w:ascii="Times New Roman" w:cs="Times New Roman" w:eastAsia="Times New Roman" w:hAnsi="Times New Roman"/>
          <w:sz w:val="19"/>
          <w:szCs w:val="19"/>
          <w:color w:val="auto"/>
        </w:rPr>
      </w:pPr>
    </w:p>
    <w:p>
      <w:pPr>
        <w:ind w:right="80" w:firstLine="638"/>
        <w:spacing w:after="0" w:line="245" w:lineRule="auto"/>
        <w:tabs>
          <w:tab w:leader="none" w:pos="115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existing on, or made pursuant to binding commitments existing on, the Issue Date and any Investment consisting of an extension, modification or renewal of any Investment existing on, or made pursuant to a binding commitment existing on, the Issue Date; provided that the amount of any such Investment may be increased (a) as required by the terms of such Investment as in existence on the Issue Date or (b) as otherwise permitted under this Indenture;</w:t>
      </w:r>
    </w:p>
    <w:p>
      <w:pPr>
        <w:spacing w:after="0" w:line="154" w:lineRule="exact"/>
        <w:rPr>
          <w:rFonts w:ascii="Times New Roman" w:cs="Times New Roman" w:eastAsia="Times New Roman" w:hAnsi="Times New Roman"/>
          <w:sz w:val="19"/>
          <w:szCs w:val="19"/>
          <w:color w:val="auto"/>
        </w:rPr>
      </w:pPr>
    </w:p>
    <w:p>
      <w:pPr>
        <w:ind w:right="60" w:firstLine="638"/>
        <w:spacing w:after="0" w:line="242" w:lineRule="auto"/>
        <w:tabs>
          <w:tab w:leader="none" w:pos="115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acquired after the Issue Date as a result of the acquisition by the Issuer or any Restricted Subsidiary of the Issuer of another Person, including by way of a merger or consolidation with or into the Issuer or any of its Restricted Subsidiaries in a transaction that is not prohibited by Section 5.01 after the Issue Date to the extent that such Investments were not made in contemplation of such acquisition, merger or consolidation and were in existence on the date of such acquisition, merger or consolidation;</w:t>
      </w:r>
    </w:p>
    <w:p>
      <w:pPr>
        <w:spacing w:after="0" w:line="364"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Business Investments and Permitted Other Investments (in each case, other than with respect to any EHP</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0540"/>
          </w:cols>
          <w:pgMar w:left="960" w:top="1440" w:right="399" w:bottom="1440" w:gutter="0" w:footer="0" w:header="0"/>
        </w:sectPr>
      </w:pPr>
    </w:p>
    <w:bookmarkStart w:id="36" w:name="page37"/>
    <w:bookmarkEnd w:id="36"/>
    <w:p>
      <w:pPr>
        <w:spacing w:after="0" w:line="148" w:lineRule="exact"/>
        <w:rPr>
          <w:sz w:val="20"/>
          <w:szCs w:val="20"/>
          <w:color w:val="auto"/>
        </w:rPr>
      </w:pPr>
    </w:p>
    <w:p>
      <w:pPr>
        <w:ind w:left="640" w:right="680" w:firstLine="638"/>
        <w:spacing w:after="0" w:line="270" w:lineRule="auto"/>
        <w:tabs>
          <w:tab w:leader="none" w:pos="179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received as a result of a foreclosure by, or other transfer of title to, the Issuer or any of its Restricted Subsidiaries with respect to any secured Investment in default;</w:t>
      </w:r>
    </w:p>
    <w:p>
      <w:pPr>
        <w:spacing w:after="0" w:line="117" w:lineRule="exact"/>
        <w:rPr>
          <w:rFonts w:ascii="Times New Roman" w:cs="Times New Roman" w:eastAsia="Times New Roman" w:hAnsi="Times New Roman"/>
          <w:sz w:val="19"/>
          <w:szCs w:val="19"/>
          <w:color w:val="auto"/>
        </w:rPr>
      </w:pPr>
    </w:p>
    <w:p>
      <w:pPr>
        <w:ind w:left="640" w:right="240" w:firstLine="638"/>
        <w:spacing w:after="0" w:line="251" w:lineRule="auto"/>
        <w:tabs>
          <w:tab w:leader="none" w:pos="179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receivables owing to the Issuer or any Restricted Subsidiary created or acquired in the ordinary course of business and payable or dischargeable in accordance with customary trade terms; provided, however, that such trade terms may include such concessionary trade terms as the Issuer or any such Restricted Subsidiary deems reasonable under the circumstances;</w:t>
      </w:r>
    </w:p>
    <w:p>
      <w:pPr>
        <w:spacing w:after="0" w:line="149" w:lineRule="exact"/>
        <w:rPr>
          <w:rFonts w:ascii="Times New Roman" w:cs="Times New Roman" w:eastAsia="Times New Roman" w:hAnsi="Times New Roman"/>
          <w:sz w:val="19"/>
          <w:szCs w:val="19"/>
          <w:color w:val="auto"/>
        </w:rPr>
      </w:pPr>
    </w:p>
    <w:p>
      <w:pPr>
        <w:ind w:left="640" w:right="180" w:firstLine="638"/>
        <w:spacing w:after="0" w:line="270" w:lineRule="auto"/>
        <w:tabs>
          <w:tab w:leader="none" w:pos="179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or other Investments arising from the incurrence of Indebtedness by the Issuer or any Restricted Subsidiary with respect to Indebtedness of any Unrestricted Subsidiary or Joint Venture permitted under Section 4.09(b)(14);</w:t>
      </w:r>
    </w:p>
    <w:p>
      <w:pPr>
        <w:spacing w:after="0" w:line="131" w:lineRule="exact"/>
        <w:rPr>
          <w:rFonts w:ascii="Times New Roman" w:cs="Times New Roman" w:eastAsia="Times New Roman" w:hAnsi="Times New Roman"/>
          <w:sz w:val="19"/>
          <w:szCs w:val="19"/>
          <w:color w:val="auto"/>
        </w:rPr>
      </w:pPr>
    </w:p>
    <w:p>
      <w:pPr>
        <w:jc w:val="both"/>
        <w:ind w:left="640" w:right="280" w:firstLine="638"/>
        <w:spacing w:after="0" w:line="251" w:lineRule="auto"/>
        <w:tabs>
          <w:tab w:leader="none" w:pos="179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of performance or other obligations (other than Indebtedness) arising in the ordinary course in the Oil and Gas Business, including obligations under oil and natural gas exploration, development, joint operating, and related agreements and licenses, concessions or operating leases related to the Oil and Gas Business;</w:t>
      </w:r>
    </w:p>
    <w:p>
      <w:pPr>
        <w:spacing w:after="0" w:line="136" w:lineRule="exact"/>
        <w:rPr>
          <w:rFonts w:ascii="Times New Roman" w:cs="Times New Roman" w:eastAsia="Times New Roman" w:hAnsi="Times New Roman"/>
          <w:sz w:val="19"/>
          <w:szCs w:val="19"/>
          <w:color w:val="auto"/>
        </w:rPr>
      </w:pPr>
    </w:p>
    <w:p>
      <w:pPr>
        <w:ind w:left="640" w:right="460" w:firstLine="638"/>
        <w:spacing w:after="0" w:line="270" w:lineRule="auto"/>
        <w:tabs>
          <w:tab w:leader="none" w:pos="179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advances and prepayments for asset purchases in the ordinary course of business in the Oil and Gas Business of the Issuer or any Restricted Subsidiary; and</w:t>
      </w:r>
    </w:p>
    <w:p>
      <w:pPr>
        <w:spacing w:after="0" w:line="131" w:lineRule="exact"/>
        <w:rPr>
          <w:rFonts w:ascii="Times New Roman" w:cs="Times New Roman" w:eastAsia="Times New Roman" w:hAnsi="Times New Roman"/>
          <w:sz w:val="19"/>
          <w:szCs w:val="19"/>
          <w:color w:val="auto"/>
        </w:rPr>
      </w:pPr>
    </w:p>
    <w:p>
      <w:pPr>
        <w:ind w:left="640" w:right="60" w:firstLine="638"/>
        <w:spacing w:after="0" w:line="236" w:lineRule="auto"/>
        <w:tabs>
          <w:tab w:leader="none" w:pos="179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in any Person having an aggregate Fair Market Value (measured on the date such Investment was made and without giving effect to subsequent changes in value) that, when taken together with the Fair Market Value (as so measured) of all other Investments made pursuant to this clause (20) that are at the time outstanding, that does not exceed the greater of (a) $150.0 million and (b) 5.0% of Adjusted Consolidated Net Tangible Assets determined at the time such Investment is made; provided, however, that if any Investment pursuant to this clause (20) is made in any Person that is not a Restricted Subsidiary of the Issuer at the date of the making of such Investment and such Person becomes a Restricted Subsidiary of the Issuer after such date, such Investment shall thereafter be deemed to have been made pursuant to clause (1) above and shall cease to have been made pursuant to this clause</w:t>
      </w:r>
    </w:p>
    <w:p>
      <w:pPr>
        <w:spacing w:after="0" w:line="2" w:lineRule="exact"/>
        <w:rPr>
          <w:rFonts w:ascii="Times New Roman" w:cs="Times New Roman" w:eastAsia="Times New Roman" w:hAnsi="Times New Roman"/>
          <w:sz w:val="19"/>
          <w:szCs w:val="19"/>
          <w:color w:val="auto"/>
        </w:rPr>
      </w:pPr>
    </w:p>
    <w:p>
      <w:pPr>
        <w:ind w:left="640" w:right="720" w:firstLine="2"/>
        <w:spacing w:after="0" w:line="246" w:lineRule="auto"/>
        <w:tabs>
          <w:tab w:leader="none" w:pos="101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so long as such Person continues to be a Restricted Subsidiary of the Issuer (unless the Issuer otherwise classifies such Investment in compliance with this Indenture).</w:t>
      </w:r>
    </w:p>
    <w:p>
      <w:pPr>
        <w:spacing w:after="0" w:line="153"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With respect to any Investment, the Issuer may, in its sole discretion, classify all or any portion of such Investment in one or more of the above clauses so that the entire Investment is a Permitted Investment.</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Liens</w:t>
      </w:r>
      <w:r>
        <w:rPr>
          <w:rFonts w:ascii="Times New Roman" w:cs="Times New Roman" w:eastAsia="Times New Roman" w:hAnsi="Times New Roman"/>
          <w:sz w:val="19"/>
          <w:szCs w:val="19"/>
          <w:color w:val="auto"/>
        </w:rPr>
        <w:t>” means:</w:t>
      </w:r>
    </w:p>
    <w:p>
      <w:pPr>
        <w:spacing w:after="0" w:line="194" w:lineRule="exact"/>
        <w:rPr>
          <w:sz w:val="20"/>
          <w:szCs w:val="20"/>
          <w:color w:val="auto"/>
        </w:rPr>
      </w:pPr>
    </w:p>
    <w:p>
      <w:pPr>
        <w:ind w:left="640" w:right="40" w:firstLine="638"/>
        <w:spacing w:after="0" w:line="270" w:lineRule="auto"/>
        <w:tabs>
          <w:tab w:leader="none" w:pos="169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assets of the Issuer or any Restricted Subsidiary securing Indebtedness under Credit Facilities that was permitted by the terms of this Indenture to be incurred pursuant to clause (1) of Section 4.09(b);</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the Issuer or the Guarantors;</w:t>
      </w:r>
    </w:p>
    <w:p>
      <w:pPr>
        <w:spacing w:after="0" w:line="179" w:lineRule="exact"/>
        <w:rPr>
          <w:rFonts w:ascii="Times New Roman" w:cs="Times New Roman" w:eastAsia="Times New Roman" w:hAnsi="Times New Roman"/>
          <w:sz w:val="19"/>
          <w:szCs w:val="19"/>
          <w:color w:val="auto"/>
        </w:rPr>
      </w:pPr>
    </w:p>
    <w:p>
      <w:pPr>
        <w:ind w:left="640" w:right="100" w:firstLine="638"/>
        <w:spacing w:after="0" w:line="251" w:lineRule="auto"/>
        <w:tabs>
          <w:tab w:leader="none" w:pos="169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property of a Person existing at the time such Person becomes a Restricted Subsidiary of the Issuer or is merged with or into or consolidated with the Issuer or any Restricted Subsidiary of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Liens do not extend to any other property owned by such Person or any of its Restricted Subsidiaries;</w:t>
      </w:r>
    </w:p>
    <w:p>
      <w:pPr>
        <w:spacing w:after="0" w:line="149" w:lineRule="exact"/>
        <w:rPr>
          <w:rFonts w:ascii="Times New Roman" w:cs="Times New Roman" w:eastAsia="Times New Roman" w:hAnsi="Times New Roman"/>
          <w:sz w:val="19"/>
          <w:szCs w:val="19"/>
          <w:color w:val="auto"/>
        </w:rPr>
      </w:pPr>
    </w:p>
    <w:p>
      <w:pPr>
        <w:ind w:left="640" w:right="700" w:firstLine="638"/>
        <w:spacing w:after="0" w:line="270" w:lineRule="auto"/>
        <w:tabs>
          <w:tab w:leader="none" w:pos="169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property (including Capital Stock) existing at the time of acquisition of the property by the Issuer or any Subsidiary of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Liens do not extend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any property other than that acquired;</w:t>
      </w:r>
    </w:p>
    <w:p>
      <w:pPr>
        <w:spacing w:after="0" w:line="179" w:lineRule="exact"/>
        <w:rPr>
          <w:sz w:val="20"/>
          <w:szCs w:val="20"/>
          <w:color w:val="auto"/>
        </w:rPr>
      </w:pPr>
    </w:p>
    <w:p>
      <w:pPr>
        <w:ind w:right="220" w:firstLine="638"/>
        <w:spacing w:after="0" w:line="242" w:lineRule="auto"/>
        <w:tabs>
          <w:tab w:leader="none" w:pos="1057"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or deposits or other Liens to secure the performance of statutory obligations, insurance, surety or appeal bonds, workers’ compensation, unemployment and similar obligations, bid, leases (including, without limitation, statutory and common law landlord’s liens), government contracts, plugging and abandonment obligations and performance bonds or other obligations of a like nature incurred in the ordinary course of business (including Liens to secure letters of credit issued to assure payment of such obligations);</w:t>
      </w:r>
    </w:p>
    <w:p>
      <w:pPr>
        <w:spacing w:after="0" w:line="157" w:lineRule="exact"/>
        <w:rPr>
          <w:rFonts w:ascii="Times New Roman" w:cs="Times New Roman" w:eastAsia="Times New Roman" w:hAnsi="Times New Roman"/>
          <w:sz w:val="19"/>
          <w:szCs w:val="19"/>
          <w:color w:val="auto"/>
        </w:rPr>
      </w:pPr>
    </w:p>
    <w:p>
      <w:pPr>
        <w:ind w:firstLine="638"/>
        <w:spacing w:after="0" w:line="235" w:lineRule="auto"/>
        <w:tabs>
          <w:tab w:leader="none" w:pos="1057"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represented by (x) Sale and Leaseback Transactions permitted to be incurred under this Indenture and (y) Finance Lease Obligations, mortgage financings or purchase money obligations or other Indebtedness, in each case in this clause (y) that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and acquired or designed, constructed, installed, developed, repaired or improved in the ordinary course of business; provided that (a) such Liens are in favor of the seller or other transferor or lessor of such asset or property, in favor of the Person or Persons designing, constructing, installing, developing, repairing or improving such asset or property, or in favor of the Person or Persons that provided the funding for the acquisition, lease, leaseback, design, construction, installation, development, repair or improvement cost, as the case may be, of such asset or property, (b) such Liens are created no later than 360 days after the acquisition, lease, leaseback, design, construction, installation, development, repair or improvement, (c) the aggregate principal amount of the Indebtedness secured by such Liens is otherwise permitted to be incurred under this Indenture and does not exceed the greater of</w:t>
      </w:r>
    </w:p>
    <w:p>
      <w:pPr>
        <w:ind w:right="60" w:firstLine="2"/>
        <w:spacing w:after="0"/>
        <w:tabs>
          <w:tab w:leader="none" w:pos="23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the asset or property so acquired, designed, constructed, installed, developed, repaired or improved plus related financing costs and (ii) the fair market value of the asset or property so acquired, leased, designed, constructed, installed, developed, repaired or improved, measured at the date of such acquisition or lease, or the date of completion of such design, construction, installation, development, repair or improvement plus related financing costs, and (d) such Liens are limited to the asset or property so acquired, leased, designed, constructed, installed, developed, repaired or improved (together with improvements, additions, accessions and contractual rights relating primarily thereto and all proceeds thereof (including dividends, distributions and increases in respect thereof));</w:t>
      </w:r>
    </w:p>
    <w:p>
      <w:pPr>
        <w:spacing w:after="0" w:line="349" w:lineRule="exact"/>
        <w:rPr>
          <w:rFonts w:ascii="Times New Roman" w:cs="Times New Roman" w:eastAsia="Times New Roman" w:hAnsi="Times New Roman"/>
          <w:sz w:val="19"/>
          <w:szCs w:val="19"/>
          <w:color w:val="auto"/>
        </w:rPr>
      </w:pPr>
    </w:p>
    <w:p>
      <w:pPr>
        <w:ind w:right="400" w:firstLine="638"/>
        <w:spacing w:after="0" w:line="270" w:lineRule="auto"/>
        <w:tabs>
          <w:tab w:leader="none" w:pos="1057"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existing on the Issue Date after giving effect to the issuance of the Initial Notes and the application of proceeds therefrom (other than Liens securing Indebtedness under the Credit Agreement);</w:t>
      </w:r>
    </w:p>
    <w:p>
      <w:pPr>
        <w:spacing w:after="0" w:line="117"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for the benefit of (or to secure) the Notes or the Guarantees or to secure other obligations under this</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Indenture;</w:t>
      </w:r>
    </w:p>
    <w:p>
      <w:pPr>
        <w:spacing w:after="0" w:line="170" w:lineRule="exact"/>
        <w:rPr>
          <w:rFonts w:ascii="Times New Roman" w:cs="Times New Roman" w:eastAsia="Times New Roman" w:hAnsi="Times New Roman"/>
          <w:sz w:val="19"/>
          <w:szCs w:val="19"/>
          <w:color w:val="auto"/>
        </w:rPr>
      </w:pPr>
    </w:p>
    <w:p>
      <w:pPr>
        <w:ind w:right="20" w:firstLine="638"/>
        <w:spacing w:after="0" w:line="251" w:lineRule="auto"/>
        <w:tabs>
          <w:tab w:leader="none" w:pos="1057"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149"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pipelines or pipeline facilities that arise by operation of law;</w:t>
      </w:r>
    </w:p>
    <w:p>
      <w:pPr>
        <w:spacing w:after="0" w:line="179" w:lineRule="exact"/>
        <w:rPr>
          <w:rFonts w:ascii="Times New Roman" w:cs="Times New Roman" w:eastAsia="Times New Roman" w:hAnsi="Times New Roman"/>
          <w:sz w:val="19"/>
          <w:szCs w:val="19"/>
          <w:color w:val="auto"/>
        </w:rPr>
      </w:pPr>
    </w:p>
    <w:p>
      <w:pPr>
        <w:ind w:left="1140" w:hanging="502"/>
        <w:spacing w:after="0"/>
        <w:tabs>
          <w:tab w:leader="none" w:pos="114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reserved in oil and natural gas mineral leases for bonus or rental payments and for compliance with the terms of</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0560"/>
          </w:cols>
          <w:pgMar w:left="960" w:top="1440" w:right="379" w:bottom="1440" w:gutter="0" w:footer="0" w:header="0"/>
        </w:sectPr>
      </w:pPr>
    </w:p>
    <w:bookmarkStart w:id="38" w:name="page39"/>
    <w:bookmarkEnd w:id="38"/>
    <w:p>
      <w:pPr>
        <w:spacing w:after="0" w:line="148" w:lineRule="exact"/>
        <w:rPr>
          <w:sz w:val="20"/>
          <w:szCs w:val="20"/>
          <w:color w:val="auto"/>
        </w:rPr>
      </w:pPr>
    </w:p>
    <w:p>
      <w:pPr>
        <w:ind w:right="420" w:firstLine="638"/>
        <w:spacing w:after="0" w:line="270" w:lineRule="auto"/>
        <w:tabs>
          <w:tab w:leader="none" w:pos="115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to secure any Indebtedness incurred to refinance or replace Indebtedness secured by any Lien described under clauses (3), (4), (6), (7), (8), (12) and (22) of this definition permitted to be incurred under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w:t>
      </w:r>
    </w:p>
    <w:p>
      <w:pPr>
        <w:spacing w:after="0" w:line="117" w:lineRule="exact"/>
        <w:rPr>
          <w:rFonts w:ascii="Times New Roman" w:cs="Times New Roman" w:eastAsia="Times New Roman" w:hAnsi="Times New Roman"/>
          <w:sz w:val="19"/>
          <w:szCs w:val="19"/>
          <w:color w:val="auto"/>
        </w:rPr>
      </w:pPr>
    </w:p>
    <w:p>
      <w:pPr>
        <w:jc w:val="both"/>
        <w:ind w:left="640" w:right="40" w:firstLine="634"/>
        <w:spacing w:after="0" w:line="251" w:lineRule="auto"/>
        <w:tabs>
          <w:tab w:leader="none" w:pos="1686"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new Lien is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149" w:lineRule="exact"/>
        <w:rPr>
          <w:rFonts w:ascii="Times New Roman" w:cs="Times New Roman" w:eastAsia="Times New Roman" w:hAnsi="Times New Roman"/>
          <w:sz w:val="19"/>
          <w:szCs w:val="19"/>
          <w:color w:val="auto"/>
        </w:rPr>
      </w:pPr>
    </w:p>
    <w:p>
      <w:pPr>
        <w:ind w:left="640" w:right="80" w:firstLine="634"/>
        <w:spacing w:after="0" w:line="242" w:lineRule="auto"/>
        <w:tabs>
          <w:tab w:leader="none" w:pos="1697"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Indebtedness secured by the new Lien is not increased to any amount greater than the sum of (x) the outstanding principal amount, or, if greater, committed amount, of the Indebtedness exchanged, renewed, refunded, refinanced, replaced, defeased or discharged with such Permitted Refinancing Indebtedness and (y) an amount necessary to pay any fees and expenses, including premiums, related to such exchange, renewal, refunding, refinancing, replacement, defeasance or discharge;</w:t>
      </w:r>
    </w:p>
    <w:p>
      <w:pPr>
        <w:spacing w:after="0" w:line="377"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insurance policies and proceeds thereof, or other deposits, to secure insurance premium financings;</w:t>
      </w:r>
    </w:p>
    <w:p>
      <w:pPr>
        <w:spacing w:after="0" w:line="179"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filing of Uniform Commercial Code financing statements as a precautionary measure in connection with operating</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w:t>
      </w:r>
    </w:p>
    <w:p>
      <w:pPr>
        <w:spacing w:after="0" w:line="170" w:lineRule="exact"/>
        <w:rPr>
          <w:rFonts w:ascii="Times New Roman" w:cs="Times New Roman" w:eastAsia="Times New Roman" w:hAnsi="Times New Roman"/>
          <w:sz w:val="19"/>
          <w:szCs w:val="19"/>
          <w:color w:val="auto"/>
        </w:rPr>
      </w:pPr>
    </w:p>
    <w:p>
      <w:pPr>
        <w:ind w:right="260" w:firstLine="638"/>
        <w:spacing w:after="0" w:line="245" w:lineRule="auto"/>
        <w:tabs>
          <w:tab w:leader="none" w:pos="115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bankers’ Liens, rights of setoff, rights of revocation, refund or chargeback with respect to money or instruments of the Issuer or any Restricted Subsidiary, Liens arising out of judgments or awards not constituting an Event of Default and notices of lis pendens and associated rights related to litigation being contested in good faith by appropriate proceedings and for which adequate reserves have been made;</w:t>
      </w:r>
    </w:p>
    <w:p>
      <w:pPr>
        <w:spacing w:after="0" w:line="154"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cash, Cash Equivalents or other property arising in connection with the defeasance, discharge or redemption of</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w:t>
      </w:r>
    </w:p>
    <w:p>
      <w:pPr>
        <w:spacing w:after="0" w:line="157" w:lineRule="exact"/>
        <w:rPr>
          <w:rFonts w:ascii="Times New Roman" w:cs="Times New Roman" w:eastAsia="Times New Roman" w:hAnsi="Times New Roman"/>
          <w:sz w:val="19"/>
          <w:szCs w:val="19"/>
          <w:color w:val="auto"/>
        </w:rPr>
      </w:pPr>
    </w:p>
    <w:p>
      <w:pPr>
        <w:jc w:val="both"/>
        <w:ind w:right="420" w:firstLine="638"/>
        <w:spacing w:after="0" w:line="251" w:lineRule="auto"/>
        <w:tabs>
          <w:tab w:leader="none" w:pos="115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147" w:lineRule="exact"/>
        <w:rPr>
          <w:rFonts w:ascii="Times New Roman" w:cs="Times New Roman" w:eastAsia="Times New Roman" w:hAnsi="Times New Roman"/>
          <w:sz w:val="19"/>
          <w:szCs w:val="19"/>
          <w:color w:val="auto"/>
        </w:rPr>
      </w:pPr>
    </w:p>
    <w:p>
      <w:pPr>
        <w:ind w:right="240" w:firstLine="638"/>
        <w:spacing w:after="0" w:line="273" w:lineRule="auto"/>
        <w:tabs>
          <w:tab w:leader="none" w:pos="115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in respect of Production Payments and Reserve Sales;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Liens are limited to the property that is subject to such Production Payments and Reserve Sales;</w:t>
      </w:r>
    </w:p>
    <w:p>
      <w:pPr>
        <w:spacing w:after="0" w:line="127" w:lineRule="exact"/>
        <w:rPr>
          <w:rFonts w:ascii="Times New Roman" w:cs="Times New Roman" w:eastAsia="Times New Roman" w:hAnsi="Times New Roman"/>
          <w:sz w:val="19"/>
          <w:szCs w:val="19"/>
          <w:color w:val="auto"/>
        </w:rPr>
      </w:pPr>
    </w:p>
    <w:p>
      <w:pPr>
        <w:ind w:firstLine="638"/>
        <w:spacing w:after="0"/>
        <w:tabs>
          <w:tab w:leader="none" w:pos="115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under oil and natural gas leases or subleases, overriding royalty interests,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production payment agreements, royalty trust agreements, incentive compensation programs for geologists, geophysicists and other providers of technical services to the Issuer or a Restricted Subsidiary, area of mutual interest agreements, gas balancing or deferred production agreements, injection, repressuring and recycling agreements, salt water or other disposal agreements, seismic or geophysical permits or agreements, licenses, sublicenses and other agreements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0600"/>
          </w:cols>
          <w:pgMar w:left="960" w:top="1440" w:right="339" w:bottom="1440" w:gutter="0" w:footer="0" w:header="0"/>
        </w:sectPr>
      </w:pPr>
    </w:p>
    <w:bookmarkStart w:id="39" w:name="page40"/>
    <w:bookmarkEnd w:id="39"/>
    <w:p>
      <w:pPr>
        <w:spacing w:after="0" w:line="14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9"/>
          <w:szCs w:val="19"/>
          <w:color w:val="auto"/>
        </w:rPr>
        <w:t xml:space="preserve">customary in the Oil and Gas Business;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in all instances that such Liens are limited to the assets that are the subject of the relevant agreement, program, order or contract;</w:t>
      </w:r>
    </w:p>
    <w:p>
      <w:pPr>
        <w:spacing w:after="0" w:line="114" w:lineRule="exact"/>
        <w:rPr>
          <w:sz w:val="20"/>
          <w:szCs w:val="20"/>
          <w:color w:val="auto"/>
        </w:rPr>
      </w:pPr>
    </w:p>
    <w:p>
      <w:pPr>
        <w:ind w:right="40" w:firstLine="638"/>
        <w:spacing w:after="0" w:line="270" w:lineRule="auto"/>
        <w:tabs>
          <w:tab w:leader="none" w:pos="115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to secure performance of Hedging Obligations of the Issuer or any of its Restricted Subsidiaries entered into in the ordinary course of business and not for speculative purposes;</w:t>
      </w:r>
    </w:p>
    <w:p>
      <w:pPr>
        <w:spacing w:after="0" w:line="131" w:lineRule="exact"/>
        <w:rPr>
          <w:rFonts w:ascii="Times New Roman" w:cs="Times New Roman" w:eastAsia="Times New Roman" w:hAnsi="Times New Roman"/>
          <w:sz w:val="19"/>
          <w:szCs w:val="19"/>
          <w:color w:val="auto"/>
        </w:rPr>
      </w:pPr>
    </w:p>
    <w:p>
      <w:pPr>
        <w:ind w:right="120" w:firstLine="638"/>
        <w:spacing w:after="0" w:line="245" w:lineRule="auto"/>
        <w:tabs>
          <w:tab w:leader="none" w:pos="115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arising under this Indenture in favor of the Trustee for its own benefit and similar Liens in favor of other trustees, agents and representatives arising under instruments governing Indebtedness permitted to be incurred under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Liens are solely for the benefit of the trustees, agents or representatives in their capacities as such and not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benefit of the holders of such Indebtedness;</w:t>
      </w:r>
    </w:p>
    <w:p>
      <w:pPr>
        <w:spacing w:after="0" w:line="154" w:lineRule="exact"/>
        <w:rPr>
          <w:rFonts w:ascii="Times New Roman" w:cs="Times New Roman" w:eastAsia="Times New Roman" w:hAnsi="Times New Roman"/>
          <w:sz w:val="19"/>
          <w:szCs w:val="19"/>
          <w:color w:val="auto"/>
        </w:rPr>
      </w:pPr>
    </w:p>
    <w:p>
      <w:pPr>
        <w:ind w:right="120" w:firstLine="638"/>
        <w:spacing w:after="0" w:line="238" w:lineRule="auto"/>
        <w:tabs>
          <w:tab w:leader="none" w:pos="115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incurred by the Issuer or any Restricted Subsidiary of the Issuer with respect to Indebtedness in aggregate principal amount that, when taken together with the aggregate principal amount of all other Indebtedness secured by Liens incurred pursuant to this clause (22) then outstanding, together with all other then outstanding Indebtedness secured by Liens incurred pursuant to clause (12) of this definition that had previously refinanced or replaced Indebtedness secured by Liens incurred under this clause</w:t>
      </w:r>
    </w:p>
    <w:p>
      <w:pPr>
        <w:spacing w:after="0" w:line="3" w:lineRule="exact"/>
        <w:rPr>
          <w:rFonts w:ascii="Times New Roman" w:cs="Times New Roman" w:eastAsia="Times New Roman" w:hAnsi="Times New Roman"/>
          <w:sz w:val="19"/>
          <w:szCs w:val="19"/>
          <w:color w:val="auto"/>
        </w:rPr>
      </w:pPr>
    </w:p>
    <w:p>
      <w:pPr>
        <w:ind w:right="26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(22), does not exceed the greater of (a) $150.0 million and (b) 5.0% of Adjusted Consolidated Net Tangible Assets determined at the time such Lien is incurred;</w:t>
      </w:r>
    </w:p>
    <w:p>
      <w:pPr>
        <w:spacing w:after="0" w:line="139" w:lineRule="exact"/>
        <w:rPr>
          <w:rFonts w:ascii="Times New Roman" w:cs="Times New Roman" w:eastAsia="Times New Roman" w:hAnsi="Times New Roman"/>
          <w:sz w:val="19"/>
          <w:szCs w:val="19"/>
          <w:color w:val="auto"/>
        </w:rPr>
      </w:pPr>
    </w:p>
    <w:p>
      <w:pPr>
        <w:ind w:right="220" w:firstLine="638"/>
        <w:spacing w:after="0" w:line="270" w:lineRule="auto"/>
        <w:tabs>
          <w:tab w:leader="none" w:pos="115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and subleases of real property which do not materially interfere with the ordinary conduct of the business of the Issuer or the Restricted Subsidiaries;</w:t>
      </w:r>
    </w:p>
    <w:p>
      <w:pPr>
        <w:spacing w:after="0" w:line="131"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arising by reason of:</w:t>
      </w:r>
    </w:p>
    <w:p>
      <w:pPr>
        <w:spacing w:after="0" w:line="192" w:lineRule="exact"/>
        <w:rPr>
          <w:rFonts w:ascii="Times New Roman" w:cs="Times New Roman" w:eastAsia="Times New Roman" w:hAnsi="Times New Roman"/>
          <w:sz w:val="19"/>
          <w:szCs w:val="19"/>
          <w:color w:val="auto"/>
        </w:rPr>
      </w:pPr>
    </w:p>
    <w:p>
      <w:pPr>
        <w:ind w:left="640" w:right="160" w:firstLine="634"/>
        <w:spacing w:after="0" w:line="251" w:lineRule="auto"/>
        <w:tabs>
          <w:tab w:leader="none" w:pos="168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assessments or governmental charges or claims that are not yet delinquent or which are being contested in good faith by appropriate proceedings promptly instituted and diligently conducted;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reserve or other appropriate provision as will be required in conformity with GAAP will have been made therefor,</w:t>
      </w:r>
    </w:p>
    <w:p>
      <w:pPr>
        <w:spacing w:after="0" w:line="136" w:lineRule="exact"/>
        <w:rPr>
          <w:rFonts w:ascii="Times New Roman" w:cs="Times New Roman" w:eastAsia="Times New Roman" w:hAnsi="Times New Roman"/>
          <w:sz w:val="19"/>
          <w:szCs w:val="19"/>
          <w:color w:val="auto"/>
        </w:rPr>
      </w:pPr>
    </w:p>
    <w:p>
      <w:pPr>
        <w:ind w:left="640" w:right="520" w:firstLine="634"/>
        <w:spacing w:after="0" w:line="270" w:lineRule="auto"/>
        <w:tabs>
          <w:tab w:leader="none" w:pos="1697"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faith deposits in connection with tenders, leases and contracts (other than contracts for the payment of Indebtedness),</w:t>
      </w:r>
    </w:p>
    <w:p>
      <w:pPr>
        <w:spacing w:after="0" w:line="131" w:lineRule="exact"/>
        <w:rPr>
          <w:rFonts w:ascii="Times New Roman" w:cs="Times New Roman" w:eastAsia="Times New Roman" w:hAnsi="Times New Roman"/>
          <w:sz w:val="19"/>
          <w:szCs w:val="19"/>
          <w:color w:val="auto"/>
        </w:rPr>
      </w:pPr>
    </w:p>
    <w:p>
      <w:pPr>
        <w:ind w:left="640" w:firstLine="634"/>
        <w:spacing w:after="0" w:line="239" w:lineRule="auto"/>
        <w:tabs>
          <w:tab w:leader="none" w:pos="168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survey exceptions, zoning restrictions, easements, licenses, reservations, title defects, rights of others for rights of way, utilities, sewers, electric lines, telephone or telegraph lines, and other similar purposes, provisions, covenants, conditions, waivers, restrictions on the use of property or minor irregularities of title (and with respect to leasehold interests, mortgages, obligations, Liens and other encumbrances incurred, created, assumed or permitted to exist and arising by, through or under a landlord or owner of the leased property, with or without consent of the lessee), none of which materially impairs the use of any parcel of property material to the operation of the business of the Issuer or the Restricted Subsidiaries or the value of such property for the purpose of such business,</w:t>
      </w:r>
    </w:p>
    <w:p>
      <w:pPr>
        <w:spacing w:after="0" w:line="159" w:lineRule="exact"/>
        <w:rPr>
          <w:rFonts w:ascii="Times New Roman" w:cs="Times New Roman" w:eastAsia="Times New Roman" w:hAnsi="Times New Roman"/>
          <w:sz w:val="19"/>
          <w:szCs w:val="19"/>
          <w:color w:val="auto"/>
        </w:rPr>
      </w:pPr>
    </w:p>
    <w:p>
      <w:pPr>
        <w:ind w:left="640" w:right="20" w:firstLine="634"/>
        <w:spacing w:after="0" w:line="245" w:lineRule="auto"/>
        <w:tabs>
          <w:tab w:leader="none" w:pos="1697"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operation of law or contract in favor of mechanics, carriers, warehousemen, landlords, materialmen, laborers, employees, suppliers and similar persons, incurred in the ordinary course of business, to the extent such Liens relate only to the tangible property of the lessee which is located on such property, for sums which are not yet delinquent or are being contested in good faith by negotiations or by appropriate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0560"/>
          </w:cols>
          <w:pgMar w:left="960" w:top="1440" w:right="379" w:bottom="1440" w:gutter="0" w:footer="0" w:header="0"/>
        </w:sectPr>
      </w:pPr>
    </w:p>
    <w:bookmarkStart w:id="40" w:name="page41"/>
    <w:bookmarkEnd w:id="40"/>
    <w:p>
      <w:pPr>
        <w:spacing w:after="0" w:line="148" w:lineRule="exact"/>
        <w:rPr>
          <w:sz w:val="20"/>
          <w:szCs w:val="20"/>
          <w:color w:val="auto"/>
        </w:rPr>
      </w:pPr>
    </w:p>
    <w:p>
      <w:pPr>
        <w:ind w:left="1280" w:right="40"/>
        <w:spacing w:after="0" w:line="270" w:lineRule="auto"/>
        <w:rPr>
          <w:sz w:val="20"/>
          <w:szCs w:val="20"/>
          <w:color w:val="auto"/>
        </w:rPr>
      </w:pPr>
      <w:r>
        <w:rPr>
          <w:rFonts w:ascii="Times New Roman" w:cs="Times New Roman" w:eastAsia="Times New Roman" w:hAnsi="Times New Roman"/>
          <w:sz w:val="19"/>
          <w:szCs w:val="19"/>
          <w:color w:val="auto"/>
        </w:rPr>
        <w:t>proceedings which suspend the collection thereof; if such reserve or other appropriate provision, if any, as shall be required by GAAP shall have been made in respect thereof, or</w:t>
      </w:r>
    </w:p>
    <w:p>
      <w:pPr>
        <w:spacing w:after="0" w:line="118" w:lineRule="exact"/>
        <w:rPr>
          <w:sz w:val="20"/>
          <w:szCs w:val="20"/>
          <w:color w:val="auto"/>
        </w:rPr>
      </w:pPr>
    </w:p>
    <w:p>
      <w:pPr>
        <w:ind w:left="2320" w:hanging="406"/>
        <w:spacing w:after="0"/>
        <w:tabs>
          <w:tab w:leader="none" w:pos="232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normal depository or cash-management arrangements with banks; and</w:t>
      </w:r>
    </w:p>
    <w:p>
      <w:pPr>
        <w:spacing w:after="0" w:line="152" w:lineRule="exact"/>
        <w:rPr>
          <w:rFonts w:ascii="Times New Roman" w:cs="Times New Roman" w:eastAsia="Times New Roman" w:hAnsi="Times New Roman"/>
          <w:sz w:val="19"/>
          <w:szCs w:val="19"/>
          <w:color w:val="auto"/>
        </w:rPr>
      </w:pPr>
    </w:p>
    <w:p>
      <w:pPr>
        <w:ind w:left="640" w:right="100" w:firstLine="638"/>
        <w:spacing w:after="0" w:line="239" w:lineRule="auto"/>
        <w:tabs>
          <w:tab w:leader="none" w:pos="179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any specific property or any interest therein, construction thereon or improvement thereto to secure all or any part of the costs incurred for surveying, exploration, drilling, extraction, development, operation, production, construction, alteration, repair or improvement of, in, from, under or on such property and the plugging and abandonment of wells located thereon (it being understood that, in the case of oil and gas producing properties, or any interest therein, costs incurred for development and production shall include costs incurred for all facilities relating to such properties or to projects, ventures or other arrangements of which such properties form a part or which relate to such properties or interests and costs incurred for processing, gathering, marketing, refining and storage of such production), in each case that do not secure Indebtedness for borrowed money.</w:t>
      </w:r>
    </w:p>
    <w:p>
      <w:pPr>
        <w:spacing w:after="0" w:line="160"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9"/>
          <w:szCs w:val="19"/>
          <w:color w:val="auto"/>
        </w:rPr>
        <w:t>In each case set forth above, notwithstanding any stated limitation on the assets that may be subject to such Lien, a Permitted Lien on a specified asset or group or type of assets shall also include any Lien on all improvements, additions, accessions and contractual rights relating primarily thereto and all proceeds thereof (including dividends, distributions and increases in respect thereof).</w:t>
      </w:r>
    </w:p>
    <w:p>
      <w:pPr>
        <w:spacing w:after="0" w:line="147" w:lineRule="exact"/>
        <w:rPr>
          <w:sz w:val="20"/>
          <w:szCs w:val="20"/>
          <w:color w:val="auto"/>
        </w:rPr>
      </w:pPr>
    </w:p>
    <w:p>
      <w:pPr>
        <w:ind w:right="22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Other Investments</w:t>
      </w:r>
      <w:r>
        <w:rPr>
          <w:rFonts w:ascii="Times New Roman" w:cs="Times New Roman" w:eastAsia="Times New Roman" w:hAnsi="Times New Roman"/>
          <w:sz w:val="19"/>
          <w:szCs w:val="19"/>
          <w:color w:val="auto"/>
        </w:rPr>
        <w:t xml:space="preserve">” means Investments by the Issuer or any of its Restricted Subsidiaries in any Person (including in any Unrestricted Subsidiary) consisting of a capital contribution, or arising from the receipt of non-cash consideration from a transfer, to such Person of Midstream and Infrastructure Assets;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35" w:lineRule="exact"/>
        <w:rPr>
          <w:sz w:val="20"/>
          <w:szCs w:val="20"/>
          <w:color w:val="auto"/>
        </w:rPr>
      </w:pPr>
    </w:p>
    <w:p>
      <w:pPr>
        <w:ind w:left="640" w:right="300" w:firstLine="638"/>
        <w:spacing w:after="0" w:line="270" w:lineRule="auto"/>
        <w:tabs>
          <w:tab w:leader="none" w:pos="169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any such Investment and immediately thereafter, the Issuer would be permitted to incur at least $1.00 of additional Indebtedness pursuant to the Fixed Charge Coverage Ratio test set forth in Section 4.09(a); and</w:t>
      </w:r>
    </w:p>
    <w:p>
      <w:pPr>
        <w:spacing w:after="0" w:line="131" w:lineRule="exact"/>
        <w:rPr>
          <w:rFonts w:ascii="Times New Roman" w:cs="Times New Roman" w:eastAsia="Times New Roman" w:hAnsi="Times New Roman"/>
          <w:sz w:val="19"/>
          <w:szCs w:val="19"/>
          <w:color w:val="auto"/>
        </w:rPr>
      </w:pPr>
    </w:p>
    <w:p>
      <w:pPr>
        <w:ind w:left="640" w:right="60" w:firstLine="638"/>
        <w:spacing w:after="0" w:line="251" w:lineRule="auto"/>
        <w:tabs>
          <w:tab w:leader="none" w:pos="169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Person has outstanding Indebtedness at the time of any such Investment, either (a) all such Indebtedness is Non-Recourse Debt or (b) any such Indebtedness of such Person that is not Non-Recourse Debt could, at the time such Investment is made, be incurred at that time by the Issuer pursuant to the Fixed Charge Coverage Ratio test set forth in Section 4.09(a).</w:t>
      </w:r>
    </w:p>
    <w:p>
      <w:pPr>
        <w:spacing w:after="0" w:line="147" w:lineRule="exact"/>
        <w:rPr>
          <w:sz w:val="20"/>
          <w:szCs w:val="20"/>
          <w:color w:val="auto"/>
        </w:rPr>
      </w:pPr>
    </w:p>
    <w:p>
      <w:pPr>
        <w:ind w:right="10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Refinancing Indebtedness</w:t>
      </w:r>
      <w:r>
        <w:rPr>
          <w:rFonts w:ascii="Times New Roman" w:cs="Times New Roman" w:eastAsia="Times New Roman" w:hAnsi="Times New Roman"/>
          <w:sz w:val="19"/>
          <w:szCs w:val="19"/>
          <w:color w:val="auto"/>
        </w:rPr>
        <w:t xml:space="preserve">” means any Indebtedness or Disqualified Stock or Preferred Stock of the Issuer or any of its Restricted Subsidiaries issued in exchange for, or the net proceeds of which are used to renew, refund, refinance, replace, defease or discharge other Indebtedness or Disqualified Stock or Preferred Stock of the Issuer or any of its Restricted Subsidiaries (other than intercompany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40" w:lineRule="exact"/>
        <w:rPr>
          <w:sz w:val="20"/>
          <w:szCs w:val="20"/>
          <w:color w:val="auto"/>
        </w:rPr>
      </w:pPr>
    </w:p>
    <w:p>
      <w:pPr>
        <w:ind w:left="640" w:right="140" w:firstLine="638"/>
        <w:spacing w:after="0" w:line="245" w:lineRule="auto"/>
        <w:tabs>
          <w:tab w:leader="none" w:pos="169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(or accreted value, if applicable) of such Permitted Refinancing Indebtedness does not exceed the principal amount of the Indebtedness or Disqualified Stock or Preferred Stock exchanged, renewed, refunded, refinanced, replaced, defeased or discharged (plus all accrued interest on the Indebtedness and all accrued dividends on the Disqualified Stock or Preferred Stock and the amount of all fees and expenses, including premiums, incurred in connection therewith);</w:t>
      </w:r>
    </w:p>
    <w:p>
      <w:pPr>
        <w:spacing w:after="0" w:line="154" w:lineRule="exact"/>
        <w:rPr>
          <w:rFonts w:ascii="Times New Roman" w:cs="Times New Roman" w:eastAsia="Times New Roman" w:hAnsi="Times New Roman"/>
          <w:sz w:val="19"/>
          <w:szCs w:val="19"/>
          <w:color w:val="auto"/>
        </w:rPr>
      </w:pPr>
    </w:p>
    <w:p>
      <w:pPr>
        <w:ind w:left="640" w:right="80" w:firstLine="638"/>
        <w:spacing w:after="0" w:line="270" w:lineRule="auto"/>
        <w:tabs>
          <w:tab w:leader="none" w:pos="169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Permitted Refinancing Indebtedness has a final maturity date that is either (a) no earlier than the final maturity date of, and has a Weighted Average Life to Maturity equal to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140"/>
          </w:cols>
          <w:pgMar w:left="320" w:top="1440" w:right="439" w:bottom="1440" w:gutter="0" w:footer="0" w:header="0"/>
        </w:sectPr>
      </w:pPr>
    </w:p>
    <w:bookmarkStart w:id="41" w:name="page42"/>
    <w:bookmarkEnd w:id="41"/>
    <w:p>
      <w:pPr>
        <w:spacing w:after="0" w:line="148" w:lineRule="exact"/>
        <w:rPr>
          <w:sz w:val="20"/>
          <w:szCs w:val="20"/>
          <w:color w:val="auto"/>
        </w:rPr>
      </w:pPr>
    </w:p>
    <w:p>
      <w:pPr>
        <w:jc w:val="both"/>
        <w:ind w:left="640" w:right="400"/>
        <w:spacing w:after="0" w:line="270" w:lineRule="auto"/>
        <w:rPr>
          <w:sz w:val="20"/>
          <w:szCs w:val="20"/>
          <w:color w:val="auto"/>
        </w:rPr>
      </w:pPr>
      <w:r>
        <w:rPr>
          <w:rFonts w:ascii="Times New Roman" w:cs="Times New Roman" w:eastAsia="Times New Roman" w:hAnsi="Times New Roman"/>
          <w:sz w:val="19"/>
          <w:szCs w:val="19"/>
          <w:color w:val="auto"/>
        </w:rPr>
        <w:t>greater than the Weighted Average Life to Maturity of, the Indebtedness or Disqualified Stock or Preferred Stock being exchanged, renewed, refunded, refinanced, replaced, defeased or discharged or (b) more than 90 days after the final maturity date of the Notes;</w:t>
      </w:r>
    </w:p>
    <w:p>
      <w:pPr>
        <w:spacing w:after="0" w:line="118" w:lineRule="exact"/>
        <w:rPr>
          <w:sz w:val="20"/>
          <w:szCs w:val="20"/>
          <w:color w:val="auto"/>
        </w:rPr>
      </w:pPr>
    </w:p>
    <w:p>
      <w:pPr>
        <w:ind w:left="640" w:right="180" w:firstLine="638"/>
        <w:spacing w:after="0" w:line="242" w:lineRule="auto"/>
        <w:tabs>
          <w:tab w:leader="none" w:pos="169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Indebtedness being exchanged, renewed, refunded, refinanced, replaced, defeased or discharged is subordinated in right of payment to the Notes or the Guarantees, such Permitted Refinancing Indebtedness is subordinated in right of payment to the Notes or the Guarantees, as applicable, on terms at least as favorable to the Holders of Notes as those contained in the documentation governing (or shall be Capital Stock of the obligor on) the Indebtedness being exchanged, renewed, refunded, refinanced, replaced, defeased or discharged, as determined in good faith by the Issuer;</w:t>
      </w:r>
    </w:p>
    <w:p>
      <w:pPr>
        <w:spacing w:after="0" w:line="157" w:lineRule="exact"/>
        <w:rPr>
          <w:rFonts w:ascii="Times New Roman" w:cs="Times New Roman" w:eastAsia="Times New Roman" w:hAnsi="Times New Roman"/>
          <w:sz w:val="19"/>
          <w:szCs w:val="19"/>
          <w:color w:val="auto"/>
        </w:rPr>
      </w:pPr>
    </w:p>
    <w:p>
      <w:pPr>
        <w:ind w:left="640" w:right="400" w:firstLine="638"/>
        <w:spacing w:after="0" w:line="251" w:lineRule="auto"/>
        <w:tabs>
          <w:tab w:leader="none" w:pos="169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is not incurred by a Restricted Subsidiary of the Issuer (other than a Guarantor) if the Issuer or a Guarantor is the issuer or other obligor on the Indebtedness being exchanged, renewed, refunded, refinanced, replaced, defeased or discharged;</w:t>
      </w:r>
    </w:p>
    <w:p>
      <w:pPr>
        <w:spacing w:after="0" w:line="149" w:lineRule="exact"/>
        <w:rPr>
          <w:rFonts w:ascii="Times New Roman" w:cs="Times New Roman" w:eastAsia="Times New Roman" w:hAnsi="Times New Roman"/>
          <w:sz w:val="19"/>
          <w:szCs w:val="19"/>
          <w:color w:val="auto"/>
        </w:rPr>
      </w:pPr>
    </w:p>
    <w:p>
      <w:pPr>
        <w:ind w:left="640" w:firstLine="638"/>
        <w:spacing w:after="0" w:line="270" w:lineRule="auto"/>
        <w:tabs>
          <w:tab w:leader="none" w:pos="169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Preferred Stock being exchanged, renewed, refunded, refinanced, replaced, defeased or discharged was Disqualified Stock of the Issuer, the Permitted Refinancing Indebtedness shall be Disqualified Stock of the Issuer; and</w:t>
      </w:r>
    </w:p>
    <w:p>
      <w:pPr>
        <w:spacing w:after="0" w:line="117" w:lineRule="exact"/>
        <w:rPr>
          <w:rFonts w:ascii="Times New Roman" w:cs="Times New Roman" w:eastAsia="Times New Roman" w:hAnsi="Times New Roman"/>
          <w:sz w:val="19"/>
          <w:szCs w:val="19"/>
          <w:color w:val="auto"/>
        </w:rPr>
      </w:pPr>
    </w:p>
    <w:p>
      <w:pPr>
        <w:ind w:left="640" w:right="240" w:firstLine="638"/>
        <w:spacing w:after="0" w:line="270" w:lineRule="auto"/>
        <w:tabs>
          <w:tab w:leader="none" w:pos="169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Preferred Stock being exchanged, renewed, refunded, refinanced, replaced, defeased or discharged was Preferred Stock of a Restricted Subsidiary, the Permitted Refinancing Indebtedness shall be Preferred Stock of such Restricted Subsidiary.</w:t>
      </w:r>
    </w:p>
    <w:p>
      <w:pPr>
        <w:spacing w:after="0" w:line="129" w:lineRule="exact"/>
        <w:rPr>
          <w:sz w:val="20"/>
          <w:szCs w:val="20"/>
          <w:color w:val="auto"/>
        </w:rPr>
      </w:pPr>
    </w:p>
    <w:p>
      <w:pPr>
        <w:ind w:right="7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means any individual, corporation, partnership, joint venture, association, joint-stock company, trust, unincorporated organization, limited liability company or government or other entity.</w:t>
      </w:r>
    </w:p>
    <w:p>
      <w:pPr>
        <w:spacing w:after="0" w:line="126" w:lineRule="exact"/>
        <w:rPr>
          <w:sz w:val="20"/>
          <w:szCs w:val="20"/>
          <w:color w:val="auto"/>
        </w:rPr>
      </w:pPr>
    </w:p>
    <w:p>
      <w:pPr>
        <w:ind w:right="7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Preferred Stock</w:t>
      </w:r>
      <w:r>
        <w:rPr>
          <w:rFonts w:ascii="Times New Roman" w:cs="Times New Roman" w:eastAsia="Times New Roman" w:hAnsi="Times New Roman"/>
          <w:sz w:val="19"/>
          <w:szCs w:val="19"/>
          <w:color w:val="auto"/>
        </w:rPr>
        <w:t>” means, with respect to any Person, any and all preferred or preference stock or other similar Equity Interests (however designated) of such Person whether outstanding or issued after the Issue Date.</w:t>
      </w:r>
    </w:p>
    <w:p>
      <w:pPr>
        <w:spacing w:after="0" w:line="112" w:lineRule="exact"/>
        <w:rPr>
          <w:sz w:val="20"/>
          <w:szCs w:val="20"/>
          <w:color w:val="auto"/>
        </w:rPr>
      </w:pPr>
    </w:p>
    <w:p>
      <w:pPr>
        <w:ind w:right="46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Private Placement Legend</w:t>
      </w:r>
      <w:r>
        <w:rPr>
          <w:rFonts w:ascii="Times New Roman" w:cs="Times New Roman" w:eastAsia="Times New Roman" w:hAnsi="Times New Roman"/>
          <w:sz w:val="19"/>
          <w:szCs w:val="19"/>
          <w:color w:val="auto"/>
        </w:rPr>
        <w:t>” means the legend set forth in Section 2.06(g)(1) to be placed on all Notes issued under this Indenture except where otherwise permitted by the provisions of this Indenture.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Production Payments</w:t>
      </w:r>
      <w:r>
        <w:rPr>
          <w:rFonts w:ascii="Times New Roman" w:cs="Times New Roman" w:eastAsia="Times New Roman" w:hAnsi="Times New Roman"/>
          <w:sz w:val="19"/>
          <w:szCs w:val="19"/>
          <w:color w:val="auto"/>
        </w:rPr>
        <w:t>” means Dollar-Denominated Production Payments and Volumetric Production Payments, collectively.</w:t>
      </w:r>
    </w:p>
    <w:p>
      <w:pPr>
        <w:spacing w:after="0" w:line="192" w:lineRule="exact"/>
        <w:rPr>
          <w:sz w:val="20"/>
          <w:szCs w:val="20"/>
          <w:color w:val="auto"/>
        </w:rPr>
      </w:pPr>
    </w:p>
    <w:p>
      <w:pPr>
        <w:ind w:right="40" w:firstLine="636"/>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Production Payments and Reserve Sales</w:t>
      </w:r>
      <w:r>
        <w:rPr>
          <w:rFonts w:ascii="Times New Roman" w:cs="Times New Roman" w:eastAsia="Times New Roman" w:hAnsi="Times New Roman"/>
          <w:sz w:val="19"/>
          <w:szCs w:val="19"/>
          <w:color w:val="auto"/>
        </w:rPr>
        <w:t>” means the grant or transfer by the Issuer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Issuer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QIB</w:t>
      </w:r>
      <w:r>
        <w:rPr>
          <w:rFonts w:ascii="Times New Roman" w:cs="Times New Roman" w:eastAsia="Times New Roman" w:hAnsi="Times New Roman"/>
          <w:sz w:val="19"/>
          <w:szCs w:val="19"/>
          <w:color w:val="auto"/>
        </w:rPr>
        <w:t>” means a “qualified institutional buyer” as defined in Rule 144A.</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 Agency</w:t>
      </w:r>
      <w:r>
        <w:rPr>
          <w:rFonts w:ascii="Times New Roman" w:cs="Times New Roman" w:eastAsia="Times New Roman" w:hAnsi="Times New Roman"/>
          <w:sz w:val="19"/>
          <w:szCs w:val="19"/>
          <w:color w:val="auto"/>
        </w:rPr>
        <w:t>” means:</w:t>
      </w:r>
    </w:p>
    <w:p>
      <w:pPr>
        <w:spacing w:after="0" w:line="194" w:lineRule="exact"/>
        <w:rPr>
          <w:sz w:val="20"/>
          <w:szCs w:val="20"/>
          <w:color w:val="auto"/>
        </w:rPr>
      </w:pPr>
    </w:p>
    <w:p>
      <w:pPr>
        <w:ind w:left="1700" w:hanging="422"/>
        <w:spacing w:after="0"/>
        <w:tabs>
          <w:tab w:leader="none" w:pos="1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Moody’s and S&amp;P; and</w:t>
      </w:r>
    </w:p>
    <w:p>
      <w:pPr>
        <w:spacing w:after="0" w:line="192" w:lineRule="exact"/>
        <w:rPr>
          <w:rFonts w:ascii="Times New Roman" w:cs="Times New Roman" w:eastAsia="Times New Roman" w:hAnsi="Times New Roman"/>
          <w:sz w:val="19"/>
          <w:szCs w:val="19"/>
          <w:color w:val="auto"/>
        </w:rPr>
      </w:pPr>
    </w:p>
    <w:p>
      <w:pPr>
        <w:ind w:left="640" w:right="160" w:firstLine="638"/>
        <w:spacing w:after="0" w:line="251" w:lineRule="auto"/>
        <w:tabs>
          <w:tab w:leader="none" w:pos="1697"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either of Moody’s or S&amp;P ceases to rate the Notes or fails to make a rating of the Notes publicly available for reasons outside of our control, a “nationally recognized statistical rating organization” within the meaning of Section 3(a)(62) of the Exchange Act selected by the Issuer as a replacement rating agency for Moody’s or S&amp;P, or both, as the case may be.</w:t>
      </w:r>
    </w:p>
    <w:p>
      <w:pPr>
        <w:spacing w:after="0" w:line="134" w:lineRule="exact"/>
        <w:rPr>
          <w:sz w:val="20"/>
          <w:szCs w:val="20"/>
          <w:color w:val="auto"/>
        </w:rPr>
      </w:pPr>
    </w:p>
    <w:p>
      <w:pPr>
        <w:ind w:right="14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 Date</w:t>
      </w:r>
      <w:r>
        <w:rPr>
          <w:rFonts w:ascii="Times New Roman" w:cs="Times New Roman" w:eastAsia="Times New Roman" w:hAnsi="Times New Roman"/>
          <w:sz w:val="19"/>
          <w:szCs w:val="19"/>
          <w:color w:val="auto"/>
        </w:rPr>
        <w:t>” means the earlier of the date of public notice of (i) the occurrence of a Change of Control or (ii) the Issuer’s intention to effect a Change of Control.</w:t>
      </w:r>
    </w:p>
    <w:p>
      <w:pPr>
        <w:spacing w:after="0" w:line="126" w:lineRule="exact"/>
        <w:rPr>
          <w:sz w:val="20"/>
          <w:szCs w:val="20"/>
          <w:color w:val="auto"/>
        </w:rPr>
      </w:pPr>
    </w:p>
    <w:p>
      <w:pPr>
        <w:ind w:right="20" w:firstLine="636"/>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 Decline</w:t>
      </w:r>
      <w:r>
        <w:rPr>
          <w:rFonts w:ascii="Times New Roman" w:cs="Times New Roman" w:eastAsia="Times New Roman" w:hAnsi="Times New Roman"/>
          <w:sz w:val="19"/>
          <w:szCs w:val="19"/>
          <w:color w:val="auto"/>
        </w:rPr>
        <w:t>” shall be deemed to have occurred if, no later than 30 days after the Rating Date (which period shall be extended so long as the rating of the Notes is under publicly announced consideration for possible downgrade by either of the Rating Agencies and the other Rating Agency has either downgraded, or publicly announced that it is considering downgrading, the Notes), each of the Rating Agencies decreases its rating of the Notes to a rating that is below its rating of the Notes on the day immediately prior to the earlier of (i) the date of the first public announcement of the possibility of a proposed transaction that would result in a Change of Control or (ii) the date that the possibility of such transaction is disclosed to either of the Rating Agencies. Notwithstanding the foregoing, if the Notes have an Investment Grade Rating by each of the Rating Agencies immediately prior to the Rating Date, then “Rating Decline” means a decrease in the ratings of the Notes by one or more gradations (including gradations within categories as well as between rating categories) by each of the Rating Agencies such that the rating of the Notes by each of the Rating Agencies falls below an Investment Grade Rating no later than 30 days after the Rating Date (which</w:t>
      </w:r>
    </w:p>
    <w:p>
      <w:pPr>
        <w:spacing w:after="0" w:line="7"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9"/>
          <w:szCs w:val="19"/>
          <w:color w:val="auto"/>
        </w:rPr>
        <w:t>30-day period will be extended so long as the rating of the Notes is under publicly announced consideration for possible downgrade by either of the Rating Agencies and the other Rating Agency has either downgraded, or publicly announced that it is considering downgrading, the Notes).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Regulation S</w:t>
      </w:r>
      <w:r>
        <w:rPr>
          <w:rFonts w:ascii="Times New Roman" w:cs="Times New Roman" w:eastAsia="Times New Roman" w:hAnsi="Times New Roman"/>
          <w:sz w:val="19"/>
          <w:szCs w:val="19"/>
          <w:color w:val="auto"/>
        </w:rPr>
        <w:t>” means Regulation S promulgated under the Securities Act.</w:t>
      </w:r>
    </w:p>
    <w:p>
      <w:pPr>
        <w:spacing w:after="0" w:line="179"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Regulation S Global Note</w:t>
      </w:r>
      <w:r>
        <w:rPr>
          <w:rFonts w:ascii="Times New Roman" w:cs="Times New Roman" w:eastAsia="Times New Roman" w:hAnsi="Times New Roman"/>
          <w:sz w:val="19"/>
          <w:szCs w:val="19"/>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47" w:lineRule="exact"/>
        <w:rPr>
          <w:sz w:val="20"/>
          <w:szCs w:val="20"/>
          <w:color w:val="auto"/>
        </w:rPr>
      </w:pPr>
    </w:p>
    <w:p>
      <w:pPr>
        <w:ind w:right="18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Resale Restriction Termination Date</w:t>
      </w:r>
      <w:r>
        <w:rPr>
          <w:rFonts w:ascii="Times New Roman" w:cs="Times New Roman" w:eastAsia="Times New Roman" w:hAnsi="Times New Roman"/>
          <w:sz w:val="19"/>
          <w:szCs w:val="19"/>
          <w:color w:val="auto"/>
        </w:rPr>
        <w:t>” means, with respect to any Note, the date one year after the later of the date of original issue of such Note or the last day on which the Issuer or any Affiliate of the Issuer was the owner of such Note (or any predecessor of such Note).</w:t>
      </w:r>
    </w:p>
    <w:p>
      <w:pPr>
        <w:spacing w:after="0" w:line="126" w:lineRule="exact"/>
        <w:rPr>
          <w:sz w:val="20"/>
          <w:szCs w:val="20"/>
          <w:color w:val="auto"/>
        </w:rPr>
      </w:pPr>
    </w:p>
    <w:p>
      <w:pPr>
        <w:ind w:firstLine="636"/>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Responsible Officer</w:t>
      </w:r>
      <w:r>
        <w:rPr>
          <w:rFonts w:ascii="Times New Roman" w:cs="Times New Roman" w:eastAsia="Times New Roman" w:hAnsi="Times New Roman"/>
          <w:sz w:val="19"/>
          <w:szCs w:val="19"/>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Definitive Note</w:t>
      </w:r>
      <w:r>
        <w:rPr>
          <w:rFonts w:ascii="Times New Roman" w:cs="Times New Roman" w:eastAsia="Times New Roman" w:hAnsi="Times New Roman"/>
          <w:sz w:val="19"/>
          <w:szCs w:val="19"/>
          <w:color w:val="auto"/>
        </w:rPr>
        <w:t>” means a Definitive Note bearing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Global Note</w:t>
      </w:r>
      <w:r>
        <w:rPr>
          <w:rFonts w:ascii="Times New Roman" w:cs="Times New Roman" w:eastAsia="Times New Roman" w:hAnsi="Times New Roman"/>
          <w:sz w:val="19"/>
          <w:szCs w:val="19"/>
          <w:color w:val="auto"/>
        </w:rPr>
        <w:t>” means a Global Note bearing the Private Placement Legend.</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Investment</w:t>
      </w:r>
      <w:r>
        <w:rPr>
          <w:rFonts w:ascii="Times New Roman" w:cs="Times New Roman" w:eastAsia="Times New Roman" w:hAnsi="Times New Roman"/>
          <w:sz w:val="19"/>
          <w:szCs w:val="19"/>
          <w:color w:val="auto"/>
        </w:rPr>
        <w:t>” means an Investment other than a Permitted Investment.</w:t>
      </w:r>
    </w:p>
    <w:p>
      <w:pPr>
        <w:spacing w:after="0" w:line="192" w:lineRule="exact"/>
        <w:rPr>
          <w:sz w:val="20"/>
          <w:szCs w:val="20"/>
          <w:color w:val="auto"/>
        </w:rPr>
      </w:pPr>
    </w:p>
    <w:p>
      <w:pPr>
        <w:ind w:right="20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Subsidiary</w:t>
      </w:r>
      <w:r>
        <w:rPr>
          <w:rFonts w:ascii="Times New Roman" w:cs="Times New Roman" w:eastAsia="Times New Roman" w:hAnsi="Times New Roman"/>
          <w:sz w:val="19"/>
          <w:szCs w:val="19"/>
          <w:color w:val="auto"/>
        </w:rPr>
        <w:t>” of a Person means any Subsidiary of the referent Person that is not an Unrestricted Subsidiary. Except where expressly stated otherwise, all references to Restricted Subsidiaries refer to Restricted Subsidiaries of the Issuer.</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144</w:t>
      </w:r>
      <w:r>
        <w:rPr>
          <w:rFonts w:ascii="Times New Roman" w:cs="Times New Roman" w:eastAsia="Times New Roman" w:hAnsi="Times New Roman"/>
          <w:sz w:val="19"/>
          <w:szCs w:val="19"/>
          <w:color w:val="auto"/>
        </w:rPr>
        <w:t>” means Rule 144 promulgated under the Securities Act.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144A</w:t>
      </w:r>
      <w:r>
        <w:rPr>
          <w:rFonts w:ascii="Times New Roman" w:cs="Times New Roman" w:eastAsia="Times New Roman" w:hAnsi="Times New Roman"/>
          <w:sz w:val="19"/>
          <w:szCs w:val="19"/>
          <w:color w:val="auto"/>
        </w:rPr>
        <w:t>” means Rule 144A promulgated under the Securities Act.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903</w:t>
      </w:r>
      <w:r>
        <w:rPr>
          <w:rFonts w:ascii="Times New Roman" w:cs="Times New Roman" w:eastAsia="Times New Roman" w:hAnsi="Times New Roman"/>
          <w:sz w:val="19"/>
          <w:szCs w:val="19"/>
          <w:color w:val="auto"/>
        </w:rPr>
        <w:t>” means Rule 903 promulgated under the Securities Act.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904</w:t>
      </w:r>
      <w:r>
        <w:rPr>
          <w:rFonts w:ascii="Times New Roman" w:cs="Times New Roman" w:eastAsia="Times New Roman" w:hAnsi="Times New Roman"/>
          <w:sz w:val="19"/>
          <w:szCs w:val="19"/>
          <w:color w:val="auto"/>
        </w:rPr>
        <w:t>” means Rule 904 promulgated under the Securities Act.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S&amp;P</w:t>
      </w:r>
      <w:r>
        <w:rPr>
          <w:rFonts w:ascii="Times New Roman" w:cs="Times New Roman" w:eastAsia="Times New Roman" w:hAnsi="Times New Roman"/>
          <w:sz w:val="19"/>
          <w:szCs w:val="19"/>
          <w:color w:val="auto"/>
        </w:rPr>
        <w:t>” means Standard &amp; Poor’s Financial Services, LLC, a subsidiary of S&amp;P Global, Inc., and any successor to the ratings business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thereof.</w:t>
      </w:r>
    </w:p>
    <w:p>
      <w:pPr>
        <w:spacing w:after="0" w:line="16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Sale and Leaseback Transaction</w:t>
      </w:r>
      <w:r>
        <w:rPr>
          <w:rFonts w:ascii="Times New Roman" w:cs="Times New Roman" w:eastAsia="Times New Roman" w:hAnsi="Times New Roman"/>
          <w:sz w:val="19"/>
          <w:szCs w:val="19"/>
          <w:color w:val="auto"/>
        </w:rPr>
        <w:t>” means an arrangement relating to property now owned or hereafter acquired whereby the Issuer or a Restricted Subsidiary of the Issuer transfers such property to a Person and the Issuer or a Restricted Subsidiary of the Issuer leases it from such Person.</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w:t>
      </w:r>
      <w:r>
        <w:rPr>
          <w:rFonts w:ascii="Times New Roman" w:cs="Times New Roman" w:eastAsia="Times New Roman" w:hAnsi="Times New Roman"/>
          <w:sz w:val="19"/>
          <w:szCs w:val="19"/>
          <w:color w:val="auto"/>
        </w:rPr>
        <w:t>” means the Securities and Exchange Commission.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Senior Debt</w:t>
      </w:r>
      <w:r>
        <w:rPr>
          <w:rFonts w:ascii="Times New Roman" w:cs="Times New Roman" w:eastAsia="Times New Roman" w:hAnsi="Times New Roman"/>
          <w:sz w:val="19"/>
          <w:szCs w:val="19"/>
          <w:color w:val="auto"/>
        </w:rPr>
        <w:t>” means:</w:t>
      </w:r>
    </w:p>
    <w:p>
      <w:pPr>
        <w:spacing w:after="0" w:line="194" w:lineRule="exact"/>
        <w:rPr>
          <w:sz w:val="20"/>
          <w:szCs w:val="20"/>
          <w:color w:val="auto"/>
        </w:rPr>
      </w:pPr>
    </w:p>
    <w:p>
      <w:pPr>
        <w:ind w:left="640" w:right="160" w:firstLine="638"/>
        <w:spacing w:after="0" w:line="270" w:lineRule="auto"/>
        <w:tabs>
          <w:tab w:leader="none" w:pos="169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Indebtedness of the Issuer or any of its Restricted Subsidiaries outstanding under Credit Facilities and all obligations under Hedging Obligations with respect thereto;</w:t>
      </w:r>
    </w:p>
    <w:p>
      <w:pPr>
        <w:spacing w:after="0" w:line="117" w:lineRule="exact"/>
        <w:rPr>
          <w:rFonts w:ascii="Times New Roman" w:cs="Times New Roman" w:eastAsia="Times New Roman" w:hAnsi="Times New Roman"/>
          <w:sz w:val="19"/>
          <w:szCs w:val="19"/>
          <w:color w:val="auto"/>
        </w:rPr>
      </w:pPr>
    </w:p>
    <w:p>
      <w:pPr>
        <w:ind w:left="640" w:right="140" w:firstLine="638"/>
        <w:spacing w:after="0" w:line="251" w:lineRule="auto"/>
        <w:tabs>
          <w:tab w:leader="none" w:pos="169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Indebtedness of the Issuer or any of its Restricted Subsidiaries permitted to be incurred under the terms of this Indenture, unless the instrument under which such Indebtedness is incurred expressly provides that it is subordinated in right of payment to the Notes or any Guarantee; and</w:t>
      </w:r>
    </w:p>
    <w:p>
      <w:pPr>
        <w:spacing w:after="0" w:line="14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with respect to the items listed in the preceding clauses (1) and (2).</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Notwithstanding anything to the contrary in the preceding sentence, Senior Debt will not include:</w:t>
      </w:r>
    </w:p>
    <w:p>
      <w:pPr>
        <w:spacing w:after="0" w:line="179" w:lineRule="exact"/>
        <w:rPr>
          <w:sz w:val="20"/>
          <w:szCs w:val="20"/>
          <w:color w:val="auto"/>
        </w:rPr>
      </w:pPr>
    </w:p>
    <w:p>
      <w:pPr>
        <w:ind w:left="1700" w:hanging="422"/>
        <w:spacing w:after="0"/>
        <w:tabs>
          <w:tab w:leader="none" w:pos="1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intercompany Indebtedness of the Issuer or any of its Restricted Subsidiaries to the Issuer or any Affiliate;</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that is incurred in violation of this Indenture; or</w:t>
      </w:r>
    </w:p>
    <w:p>
      <w:pPr>
        <w:spacing w:after="0" w:line="17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Capital Stock.</w:t>
      </w:r>
    </w:p>
    <w:p>
      <w:pPr>
        <w:spacing w:after="0" w:line="190" w:lineRule="exact"/>
        <w:rPr>
          <w:sz w:val="20"/>
          <w:szCs w:val="20"/>
          <w:color w:val="auto"/>
        </w:rPr>
      </w:pPr>
    </w:p>
    <w:p>
      <w:pPr>
        <w:ind w:right="6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Significant Subsidiary</w:t>
      </w:r>
      <w:r>
        <w:rPr>
          <w:rFonts w:ascii="Times New Roman" w:cs="Times New Roman" w:eastAsia="Times New Roman" w:hAnsi="Times New Roman"/>
          <w:sz w:val="19"/>
          <w:szCs w:val="19"/>
          <w:color w:val="auto"/>
        </w:rPr>
        <w:t>” means any Restricted Subsidiary that would be a “significant subsidiary” as defined in Article 1, Rule 1-02 of Regulation S-X, promulgated pursuant to the Securities Act, as such Regulation is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160"/>
          </w:cols>
          <w:pgMar w:left="320" w:top="1440" w:right="419" w:bottom="1440" w:gutter="0" w:footer="0" w:header="0"/>
        </w:sectPr>
      </w:pPr>
    </w:p>
    <w:bookmarkStart w:id="44" w:name="page45"/>
    <w:bookmarkEnd w:id="44"/>
    <w:p>
      <w:pPr>
        <w:spacing w:after="0" w:line="146" w:lineRule="exact"/>
        <w:rPr>
          <w:sz w:val="20"/>
          <w:szCs w:val="20"/>
          <w:color w:val="auto"/>
        </w:rPr>
      </w:pPr>
    </w:p>
    <w:p>
      <w:pPr>
        <w:ind w:right="18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Stated Maturity</w:t>
      </w:r>
      <w:r>
        <w:rPr>
          <w:rFonts w:ascii="Times New Roman" w:cs="Times New Roman" w:eastAsia="Times New Roman" w:hAnsi="Times New Roman"/>
          <w:sz w:val="19"/>
          <w:szCs w:val="19"/>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means, with respect to any specified Person:</w:t>
      </w:r>
    </w:p>
    <w:p>
      <w:pPr>
        <w:spacing w:after="0" w:line="194" w:lineRule="exact"/>
        <w:rPr>
          <w:sz w:val="20"/>
          <w:szCs w:val="20"/>
          <w:color w:val="auto"/>
        </w:rPr>
      </w:pPr>
    </w:p>
    <w:p>
      <w:pPr>
        <w:jc w:val="both"/>
        <w:ind w:left="640" w:right="80" w:firstLine="638"/>
        <w:spacing w:after="0" w:line="251" w:lineRule="auto"/>
        <w:tabs>
          <w:tab w:leader="none" w:pos="169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corporation, association or other business entity (other than a partnership or limited liability company) of which more than 50% of the total voting power of its Voting Stock is at the time owned or controlled, directly or indirectly, by that Person or one or more of the other Subsidiaries of that Person (or a combination thereof); and</w:t>
      </w:r>
    </w:p>
    <w:p>
      <w:pPr>
        <w:spacing w:after="0" w:line="149" w:lineRule="exact"/>
        <w:rPr>
          <w:rFonts w:ascii="Times New Roman" w:cs="Times New Roman" w:eastAsia="Times New Roman" w:hAnsi="Times New Roman"/>
          <w:sz w:val="19"/>
          <w:szCs w:val="19"/>
          <w:color w:val="auto"/>
        </w:rPr>
      </w:pPr>
    </w:p>
    <w:p>
      <w:pPr>
        <w:ind w:left="640" w:right="160" w:firstLine="638"/>
        <w:spacing w:after="0" w:line="242" w:lineRule="auto"/>
        <w:tabs>
          <w:tab w:leader="none" w:pos="169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partnership or limited liability company of which (a)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sole or controlling general partner or manager or managing member of, or otherwise controls, such entity.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TIA</w:t>
      </w:r>
      <w:r>
        <w:rPr>
          <w:rFonts w:ascii="Times New Roman" w:cs="Times New Roman" w:eastAsia="Times New Roman" w:hAnsi="Times New Roman"/>
          <w:sz w:val="19"/>
          <w:szCs w:val="19"/>
          <w:color w:val="auto"/>
        </w:rPr>
        <w:t>” means the Trust Indenture Act of 1939, as amended (15 U.S.C. §§ 77aaa-77bbbb), as in effect on the Issue Date.</w:t>
      </w:r>
    </w:p>
    <w:p>
      <w:pPr>
        <w:spacing w:after="0" w:line="192" w:lineRule="exact"/>
        <w:rPr>
          <w:sz w:val="20"/>
          <w:szCs w:val="20"/>
          <w:color w:val="auto"/>
        </w:rPr>
      </w:pPr>
    </w:p>
    <w:p>
      <w:pPr>
        <w:ind w:right="160" w:firstLine="636"/>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Total Leverage Ratio</w:t>
      </w:r>
      <w:r>
        <w:rPr>
          <w:rFonts w:ascii="Times New Roman" w:cs="Times New Roman" w:eastAsia="Times New Roman" w:hAnsi="Times New Roman"/>
          <w:sz w:val="19"/>
          <w:szCs w:val="19"/>
          <w:color w:val="auto"/>
        </w:rPr>
        <w:t xml:space="preserve">” means, at any date of determination, the ratio of (a) Consolidated Leverage Ratio Indebtedness, net of consolidated cash and Cash Equivalents, of the Issuer and the Restricted Subsidiaries on such date to (b) Consolidated Cash Flow of the Issuer and the Restricted Subsidiaries for the period of four consecutive fiscal quarters for which internal financial statements are available prior to such date, in each case, with such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adjustments to Consolidated Leverage Ratio Indebtedness and Consolidated Cash Flow as are appropriate and consistent with the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adjustment provisions set forth in the definition of “Fixed Charge Coverage Ratio.”</w:t>
      </w:r>
    </w:p>
    <w:p>
      <w:pPr>
        <w:spacing w:after="0" w:line="157" w:lineRule="exact"/>
        <w:rPr>
          <w:sz w:val="20"/>
          <w:szCs w:val="20"/>
          <w:color w:val="auto"/>
        </w:rPr>
      </w:pPr>
    </w:p>
    <w:p>
      <w:pPr>
        <w:ind w:right="80" w:firstLine="63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Trade Payables</w:t>
      </w:r>
      <w:r>
        <w:rPr>
          <w:rFonts w:ascii="Times New Roman" w:cs="Times New Roman" w:eastAsia="Times New Roman" w:hAnsi="Times New Roman"/>
          <w:sz w:val="19"/>
          <w:szCs w:val="19"/>
          <w:color w:val="auto"/>
        </w:rPr>
        <w:t>” means, as to any Person, (a) accounts payable or other obligations of such Person created or assumed by such Person in the ordinary course of business in connection with the obtaining of goods or services and (b) obligations arising under contracts for the exploration, development, drilling, completion and plugging and abandonment of wells or for the construction, repair or maintenance of related infrastructure or facilities.</w:t>
      </w:r>
    </w:p>
    <w:p>
      <w:pPr>
        <w:spacing w:after="0" w:line="138" w:lineRule="exact"/>
        <w:rPr>
          <w:sz w:val="20"/>
          <w:szCs w:val="20"/>
          <w:color w:val="auto"/>
        </w:rPr>
      </w:pPr>
    </w:p>
    <w:p>
      <w:pPr>
        <w:ind w:firstLine="636"/>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Treasury Rate</w:t>
      </w:r>
      <w:r>
        <w:rPr>
          <w:rFonts w:ascii="Times New Roman" w:cs="Times New Roman" w:eastAsia="Times New Roman" w:hAnsi="Times New Roman"/>
          <w:sz w:val="19"/>
          <w:szCs w:val="19"/>
          <w:color w:val="auto"/>
        </w:rPr>
        <w:t xml:space="preserve">” means, as of any redemption date, the yield to maturity as of such redemption date of the most recently issued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or the relevant information does not appear thereon, any publicly available source of similar market data)) most nearly equal to the period from the redemption date to February 1, 2023;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the period from the redemption date to February 1, 2023, is less than one year, the weekly average yield on actively traded United States Treasury securities adjusted to a constant maturity of one year will be used. The Issuer will (a) calculate the Treasury Rate on the second Business Day preceding the applicable redemption date and (b) prior to such redemption date file with the Trustee an Officers’ Certificate setting forth the Applicable Premium and the Treasury Rate and showing the calculation of each in reasonable detail. The Trustee may conclusively rely on such Officers’ Certificate and shall have no obligation to confirm or verify any such calculations.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6" w:lineRule="exact"/>
        <w:rPr>
          <w:sz w:val="20"/>
          <w:szCs w:val="20"/>
          <w:color w:val="auto"/>
        </w:rPr>
      </w:pPr>
    </w:p>
    <w:p>
      <w:pPr>
        <w:ind w:right="20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 means Wilmington Trust, National Association, until a successor replaces it in accordance with the applicable provisions of this Indenture and thereafter means the successor serving hereunder.</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Definitive Note</w:t>
      </w:r>
      <w:r>
        <w:rPr>
          <w:rFonts w:ascii="Times New Roman" w:cs="Times New Roman" w:eastAsia="Times New Roman" w:hAnsi="Times New Roman"/>
          <w:sz w:val="19"/>
          <w:szCs w:val="19"/>
          <w:color w:val="auto"/>
        </w:rPr>
        <w:t>” means a Definitive Note that does not bear and is not required to bear the Private Placement Legend.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Global Note</w:t>
      </w:r>
      <w:r>
        <w:rPr>
          <w:rFonts w:ascii="Times New Roman" w:cs="Times New Roman" w:eastAsia="Times New Roman" w:hAnsi="Times New Roman"/>
          <w:sz w:val="19"/>
          <w:szCs w:val="19"/>
          <w:color w:val="auto"/>
        </w:rPr>
        <w:t>” means a Global Note that does not bear and is not required to bear the Private Placement Legend.</w:t>
      </w:r>
    </w:p>
    <w:p>
      <w:pPr>
        <w:spacing w:after="0" w:line="192" w:lineRule="exact"/>
        <w:rPr>
          <w:sz w:val="20"/>
          <w:szCs w:val="20"/>
          <w:color w:val="auto"/>
        </w:rPr>
      </w:pPr>
    </w:p>
    <w:p>
      <w:pPr>
        <w:ind w:right="260" w:firstLine="63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Subsidiary</w:t>
      </w:r>
      <w:r>
        <w:rPr>
          <w:rFonts w:ascii="Times New Roman" w:cs="Times New Roman" w:eastAsia="Times New Roman" w:hAnsi="Times New Roman"/>
          <w:sz w:val="19"/>
          <w:szCs w:val="19"/>
          <w:color w:val="auto"/>
        </w:rPr>
        <w:t>” means any Subsidiary of the Issuer (including any newly acquired or newly formed Subsidiary or a Person becoming a Subsidiary through merger or consolidation or Investment therein) that is designated (or deemed designated) by the Issuer as an Unrestricted Subsidiary pursuant to an Officers’ Certificate, but only to the extent that such Subsidiary, at the time of such designation:</w:t>
      </w:r>
    </w:p>
    <w:p>
      <w:pPr>
        <w:spacing w:after="0" w:line="135" w:lineRule="exact"/>
        <w:rPr>
          <w:sz w:val="20"/>
          <w:szCs w:val="20"/>
          <w:color w:val="auto"/>
        </w:rPr>
      </w:pPr>
    </w:p>
    <w:p>
      <w:pPr>
        <w:ind w:left="640" w:right="460" w:firstLine="638"/>
        <w:spacing w:after="0" w:line="251" w:lineRule="auto"/>
        <w:tabs>
          <w:tab w:leader="none" w:pos="169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no Indebtedness other than Non-Recourse Debt owing to any Person other than the Issuer or any of its Restricted Subsidiaries (other than any guarantee of the Notes or the Guarantees or any Indebtedness that would be released upon such designation);</w:t>
      </w:r>
    </w:p>
    <w:p>
      <w:pPr>
        <w:spacing w:after="0" w:line="149" w:lineRule="exact"/>
        <w:rPr>
          <w:rFonts w:ascii="Times New Roman" w:cs="Times New Roman" w:eastAsia="Times New Roman" w:hAnsi="Times New Roman"/>
          <w:sz w:val="19"/>
          <w:szCs w:val="19"/>
          <w:color w:val="auto"/>
        </w:rPr>
      </w:pPr>
    </w:p>
    <w:p>
      <w:pPr>
        <w:ind w:left="640" w:firstLine="638"/>
        <w:spacing w:after="0" w:line="242" w:lineRule="auto"/>
        <w:tabs>
          <w:tab w:leader="none" w:pos="169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by Section 4.11, is not party to any agreement, contract, arrangement or understanding with the Issuer or any Restricted Subsidiary of the Issuer unless the terms of any such agreement, contract, arrangement or understanding, together with the terms of all other agreements, contracts, arrangements and understandings with such Unrestricted Subsidiary, taken as a whole, are no less favorable to the Issuer or such Restricted Subsidiary than those that might be obtained at the time from Persons who are not Affiliates of the Issuer, as determined in good faith by the Issuer;</w:t>
      </w:r>
    </w:p>
    <w:p>
      <w:pPr>
        <w:spacing w:after="0" w:line="157" w:lineRule="exact"/>
        <w:rPr>
          <w:rFonts w:ascii="Times New Roman" w:cs="Times New Roman" w:eastAsia="Times New Roman" w:hAnsi="Times New Roman"/>
          <w:sz w:val="19"/>
          <w:szCs w:val="19"/>
          <w:color w:val="auto"/>
        </w:rPr>
      </w:pPr>
    </w:p>
    <w:p>
      <w:pPr>
        <w:ind w:left="640" w:right="700" w:firstLine="638"/>
        <w:spacing w:after="0" w:line="270" w:lineRule="auto"/>
        <w:tabs>
          <w:tab w:leader="none" w:pos="169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Person with respect to which neither the Issuer nor any of its Restricted Subsidiaries has any direct or indirect obligation (a) to subscribe for additional Equity Interests or (b) to maintain or preserve such Person’s financial condition; and</w:t>
      </w:r>
    </w:p>
    <w:p>
      <w:pPr>
        <w:spacing w:after="0" w:line="117" w:lineRule="exact"/>
        <w:rPr>
          <w:rFonts w:ascii="Times New Roman" w:cs="Times New Roman" w:eastAsia="Times New Roman" w:hAnsi="Times New Roman"/>
          <w:sz w:val="19"/>
          <w:szCs w:val="19"/>
          <w:color w:val="auto"/>
        </w:rPr>
      </w:pPr>
    </w:p>
    <w:p>
      <w:pPr>
        <w:ind w:left="640" w:right="80" w:firstLine="638"/>
        <w:spacing w:after="0" w:line="245" w:lineRule="auto"/>
        <w:tabs>
          <w:tab w:leader="none" w:pos="169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not guaranteed or otherwise become an obligor on any Indebtedness of the Issuer or any of its Restricted Subsidiaries, except to the extent such guarantee or obligation would be released upon such designation and except for (x) any Non-Recourse Debt with respect to which the Issuer or any Restricted Subsidiary has pledged (or provided a guarantee limited in recourse solely to) Equity Interests in such Subsidiary or (y) any guarantee of the Notes and the Guarantees,</w:t>
      </w:r>
    </w:p>
    <w:p>
      <w:pPr>
        <w:spacing w:after="0" w:line="15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9"/>
          <w:szCs w:val="19"/>
          <w:color w:val="auto"/>
        </w:rPr>
        <w:t>except, in the case of (1), (2), (3) or (4), for any such Indebtedness that is subject to a guarantee by or other obligation of, or any agreement, contract, arrangement or understanding with, or any equity subscription or credit support obligation of, the Issuer or Restricted Subsidiary that constitutes an Investment in such Subsidiary that has been effected as a Restricted Payment or Permitted Investment that complies with Section 4.07.</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All Subsidiaries of an Unrestricted Subsidiary shall also be Unrestricted Subsidiaries.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Person</w:t>
      </w:r>
      <w:r>
        <w:rPr>
          <w:rFonts w:ascii="Times New Roman" w:cs="Times New Roman" w:eastAsia="Times New Roman" w:hAnsi="Times New Roman"/>
          <w:sz w:val="19"/>
          <w:szCs w:val="19"/>
          <w:color w:val="auto"/>
        </w:rPr>
        <w:t>” means a U.S. Person as defined in Rule 902(k) promulgated under the Securities Act.</w:t>
      </w:r>
    </w:p>
    <w:p>
      <w:pPr>
        <w:spacing w:after="0" w:line="192" w:lineRule="exact"/>
        <w:rPr>
          <w:sz w:val="20"/>
          <w:szCs w:val="20"/>
          <w:color w:val="auto"/>
        </w:rPr>
      </w:pPr>
    </w:p>
    <w:p>
      <w:pPr>
        <w:ind w:right="380" w:firstLine="636"/>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Volumetric Production Payments</w:t>
      </w:r>
      <w:r>
        <w:rPr>
          <w:rFonts w:ascii="Times New Roman" w:cs="Times New Roman" w:eastAsia="Times New Roman" w:hAnsi="Times New Roman"/>
          <w:sz w:val="19"/>
          <w:szCs w:val="19"/>
          <w:color w:val="auto"/>
        </w:rPr>
        <w:t>” means production payment obligations recorded as deferred revenue in accordance with GAAP, together with all undertakings and obligations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08" w:lineRule="exact"/>
        <w:rPr>
          <w:sz w:val="20"/>
          <w:szCs w:val="20"/>
          <w:color w:val="auto"/>
        </w:rPr>
      </w:pPr>
    </w:p>
    <w:p>
      <w:pPr>
        <w:ind w:right="100" w:firstLine="636"/>
        <w:spacing w:after="0" w:line="218" w:lineRule="auto"/>
        <w:rPr>
          <w:sz w:val="20"/>
          <w:szCs w:val="20"/>
          <w:color w:val="auto"/>
        </w:rPr>
      </w:pPr>
      <w:r>
        <w:rPr>
          <w:rFonts w:ascii="Times New Roman" w:cs="Times New Roman" w:eastAsia="Times New Roman" w:hAnsi="Times New Roman"/>
          <w:sz w:val="19"/>
          <w:szCs w:val="19"/>
          <w:color w:val="auto"/>
        </w:rPr>
        <w:t>“Voting Stock” of any specified Person as of any date means the Capital Stock of such Person entitling the holders thereof (whether at all times or only so long as no senior class of Capital Stock has voting power by reason of any contingency) to vote in the election of members of the Board of Directors of such Person; provided that with respect to a limited partnership or other entity which does not have a Board of Directors, Voting Stock means the Capital Stock of the general partner of such limited partnership or other business entity with the ultimate authority to manage the business and operations of such Person.</w:t>
      </w:r>
    </w:p>
    <w:p>
      <w:pPr>
        <w:spacing w:after="0" w:line="119" w:lineRule="exact"/>
        <w:rPr>
          <w:sz w:val="20"/>
          <w:szCs w:val="20"/>
          <w:color w:val="auto"/>
        </w:rPr>
      </w:pPr>
    </w:p>
    <w:p>
      <w:pPr>
        <w:ind w:right="160" w:firstLine="636"/>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Weighted Average Life to Maturity</w:t>
      </w:r>
      <w:r>
        <w:rPr>
          <w:rFonts w:ascii="Times New Roman" w:cs="Times New Roman" w:eastAsia="Times New Roman" w:hAnsi="Times New Roman"/>
          <w:sz w:val="19"/>
          <w:szCs w:val="19"/>
          <w:color w:val="auto"/>
        </w:rPr>
        <w:t>” means, when applied to any Indebtedness (or Disqualified Stock or Preferred Stock) at any date, the number of years obtained by dividing:</w:t>
      </w:r>
    </w:p>
    <w:p>
      <w:pPr>
        <w:spacing w:after="0" w:line="103" w:lineRule="exact"/>
        <w:rPr>
          <w:sz w:val="20"/>
          <w:szCs w:val="20"/>
          <w:color w:val="auto"/>
        </w:rPr>
      </w:pPr>
    </w:p>
    <w:p>
      <w:pPr>
        <w:ind w:left="640" w:firstLine="638"/>
        <w:spacing w:after="0" w:line="222" w:lineRule="auto"/>
        <w:tabs>
          <w:tab w:leader="none" w:pos="1697"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the products obtained by multiplying (a) the amount of each then remaining installment, sinking fund, serial maturity or other required payments of principal or (with respect to Preferred Stock) redemption or similar payment, including payment at final maturity, in respect of the Indebtedness (or Disqualified Stock or Preferred Stock), by (b) the number of years (calculated to the nearest one-twelfth) that will elapse between such date and the making of such payment; by</w:t>
      </w:r>
    </w:p>
    <w:p>
      <w:pPr>
        <w:spacing w:after="0" w:line="105"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then outstanding principal amount of such Indebtedness (or Disqualified Stock or Preferred Stock).</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255"/>
        </w:trPr>
        <w:tc>
          <w:tcPr>
            <w:tcW w:w="5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i w:val="1"/>
                <w:iCs w:val="1"/>
                <w:color w:val="auto"/>
              </w:rPr>
              <w:t>Other Definitions.</w:t>
            </w:r>
          </w:p>
        </w:tc>
        <w:tc>
          <w:tcPr>
            <w:tcW w:w="4700" w:type="dxa"/>
            <w:vAlign w:val="bottom"/>
            <w:gridSpan w:val="3"/>
            <w:vMerge w:val="restart"/>
          </w:tcPr>
          <w:p>
            <w:pPr>
              <w:jc w:val="center"/>
              <w:ind w:left="2863"/>
              <w:spacing w:after="0"/>
              <w:rPr>
                <w:sz w:val="20"/>
                <w:szCs w:val="20"/>
                <w:color w:val="auto"/>
              </w:rPr>
            </w:pPr>
            <w:r>
              <w:rPr>
                <w:rFonts w:ascii="Times New Roman" w:cs="Times New Roman" w:eastAsia="Times New Roman" w:hAnsi="Times New Roman"/>
                <w:sz w:val="19"/>
                <w:szCs w:val="19"/>
                <w:color w:val="auto"/>
              </w:rPr>
              <w:t>Defined in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Term</w:t>
            </w:r>
          </w:p>
        </w:tc>
        <w:tc>
          <w:tcPr>
            <w:tcW w:w="4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vMerge w:val="continue"/>
          </w:tcPr>
          <w:p>
            <w:pPr>
              <w:spacing w:after="0"/>
              <w:rPr>
                <w:sz w:val="17"/>
                <w:szCs w:val="17"/>
                <w:color w:val="auto"/>
              </w:rPr>
            </w:pPr>
          </w:p>
        </w:tc>
        <w:tc>
          <w:tcPr>
            <w:tcW w:w="4700" w:type="dxa"/>
            <w:vAlign w:val="bottom"/>
            <w:gridSpan w:val="3"/>
          </w:tcPr>
          <w:p>
            <w:pPr>
              <w:jc w:val="center"/>
              <w:ind w:left="2863"/>
              <w:spacing w:after="0" w:line="199" w:lineRule="exact"/>
              <w:rPr>
                <w:sz w:val="20"/>
                <w:szCs w:val="20"/>
                <w:color w:val="auto"/>
              </w:rPr>
            </w:pPr>
            <w:r>
              <w:rPr>
                <w:rFonts w:ascii="Times New Roman" w:cs="Times New Roman" w:eastAsia="Times New Roman" w:hAnsi="Times New Roman"/>
                <w:sz w:val="19"/>
                <w:szCs w:val="19"/>
                <w:color w:val="auto"/>
              </w:rPr>
              <w:t>Section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Act</w:t>
            </w:r>
            <w:r>
              <w:rPr>
                <w:rFonts w:ascii="Times New Roman" w:cs="Times New Roman" w:eastAsia="Times New Roman" w:hAnsi="Times New Roman"/>
                <w:sz w:val="19"/>
                <w:szCs w:val="19"/>
                <w:color w:val="auto"/>
              </w:rPr>
              <w:t>”</w:t>
            </w:r>
          </w:p>
        </w:tc>
        <w:tc>
          <w:tcPr>
            <w:tcW w:w="4700" w:type="dxa"/>
            <w:vAlign w:val="bottom"/>
            <w:gridSpan w:val="3"/>
          </w:tcPr>
          <w:p>
            <w:pPr>
              <w:jc w:val="center"/>
              <w:ind w:left="2863"/>
              <w:spacing w:after="0"/>
              <w:rPr>
                <w:sz w:val="20"/>
                <w:szCs w:val="20"/>
                <w:color w:val="auto"/>
              </w:rPr>
            </w:pPr>
            <w:r>
              <w:rPr>
                <w:rFonts w:ascii="Times New Roman" w:cs="Times New Roman" w:eastAsia="Times New Roman" w:hAnsi="Times New Roman"/>
                <w:sz w:val="19"/>
                <w:szCs w:val="19"/>
                <w:color w:val="auto"/>
              </w:rPr>
              <w:t>12.15(a)</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 Transaction</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4.11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Alternate Offer</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4.15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gridSpan w:val="2"/>
          </w:tcPr>
          <w:p>
            <w:pPr>
              <w:spacing w:after="0" w:line="197"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Premium Deficit</w:t>
            </w:r>
            <w:r>
              <w:rPr>
                <w:rFonts w:ascii="Times New Roman" w:cs="Times New Roman" w:eastAsia="Times New Roman" w:hAnsi="Times New Roman"/>
                <w:sz w:val="19"/>
                <w:szCs w:val="19"/>
                <w:color w:val="auto"/>
              </w:rPr>
              <w:t>”</w:t>
            </w:r>
          </w:p>
        </w:tc>
        <w:tc>
          <w:tcPr>
            <w:tcW w:w="4700" w:type="dxa"/>
            <w:vAlign w:val="bottom"/>
            <w:gridSpan w:val="3"/>
          </w:tcPr>
          <w:p>
            <w:pPr>
              <w:jc w:val="center"/>
              <w:ind w:left="2863"/>
              <w:spacing w:after="0" w:line="197" w:lineRule="exact"/>
              <w:rPr>
                <w:sz w:val="20"/>
                <w:szCs w:val="20"/>
                <w:color w:val="auto"/>
              </w:rPr>
            </w:pPr>
            <w:r>
              <w:rPr>
                <w:rFonts w:ascii="Times New Roman" w:cs="Times New Roman" w:eastAsia="Times New Roman" w:hAnsi="Times New Roman"/>
                <w:sz w:val="19"/>
                <w:szCs w:val="19"/>
                <w:color w:val="auto"/>
              </w:rPr>
              <w:t>8.04(a) or 11.01(a)(2),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Asset Sale Offer</w:t>
            </w:r>
            <w:r>
              <w:rPr>
                <w:rFonts w:ascii="Times New Roman" w:cs="Times New Roman" w:eastAsia="Times New Roman" w:hAnsi="Times New Roman"/>
                <w:sz w:val="19"/>
                <w:szCs w:val="19"/>
                <w:color w:val="auto"/>
              </w:rPr>
              <w:t>”</w:t>
            </w:r>
          </w:p>
        </w:tc>
        <w:tc>
          <w:tcPr>
            <w:tcW w:w="4700" w:type="dxa"/>
            <w:vAlign w:val="bottom"/>
            <w:gridSpan w:val="3"/>
          </w:tcPr>
          <w:p>
            <w:pPr>
              <w:jc w:val="center"/>
              <w:ind w:left="2883"/>
              <w:spacing w:after="0"/>
              <w:rPr>
                <w:sz w:val="20"/>
                <w:szCs w:val="20"/>
                <w:color w:val="auto"/>
              </w:rPr>
            </w:pPr>
            <w:r>
              <w:rPr>
                <w:rFonts w:ascii="Times New Roman" w:cs="Times New Roman" w:eastAsia="Times New Roman" w:hAnsi="Times New Roman"/>
                <w:sz w:val="19"/>
                <w:szCs w:val="19"/>
                <w:color w:val="auto"/>
              </w:rPr>
              <w:t>as applicable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80" w:type="dxa"/>
            <w:vAlign w:val="bottom"/>
            <w:gridSpan w:val="2"/>
            <w:vMerge w:val="continue"/>
          </w:tcPr>
          <w:p>
            <w:pPr>
              <w:spacing w:after="0"/>
              <w:rPr>
                <w:sz w:val="20"/>
                <w:szCs w:val="20"/>
                <w:color w:val="auto"/>
              </w:rPr>
            </w:pPr>
          </w:p>
        </w:tc>
        <w:tc>
          <w:tcPr>
            <w:tcW w:w="3540" w:type="dxa"/>
            <w:vAlign w:val="bottom"/>
          </w:tcPr>
          <w:p>
            <w:pPr>
              <w:spacing w:after="0"/>
              <w:rPr>
                <w:sz w:val="20"/>
                <w:szCs w:val="20"/>
                <w:color w:val="auto"/>
              </w:rPr>
            </w:pPr>
          </w:p>
        </w:tc>
        <w:tc>
          <w:tcPr>
            <w:tcW w:w="116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4.10(f)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Authentication Order</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2.02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Authorized Officer</w:t>
            </w:r>
            <w:r>
              <w:rPr>
                <w:rFonts w:ascii="Times New Roman" w:cs="Times New Roman" w:eastAsia="Times New Roman" w:hAnsi="Times New Roman"/>
                <w:sz w:val="19"/>
                <w:szCs w:val="19"/>
                <w:color w:val="auto"/>
              </w:rPr>
              <w:t>”</w:t>
            </w:r>
          </w:p>
        </w:tc>
        <w:tc>
          <w:tcPr>
            <w:tcW w:w="4120" w:type="dxa"/>
            <w:vAlign w:val="bottom"/>
            <w:gridSpan w:val="2"/>
          </w:tcPr>
          <w:p>
            <w:pPr>
              <w:jc w:val="center"/>
              <w:ind w:left="3463"/>
              <w:spacing w:after="0"/>
              <w:rPr>
                <w:sz w:val="20"/>
                <w:szCs w:val="20"/>
                <w:color w:val="auto"/>
              </w:rPr>
            </w:pPr>
            <w:r>
              <w:rPr>
                <w:rFonts w:ascii="Times New Roman" w:cs="Times New Roman" w:eastAsia="Times New Roman" w:hAnsi="Times New Roman"/>
                <w:sz w:val="19"/>
                <w:szCs w:val="19"/>
                <w:color w:val="auto"/>
              </w:rPr>
              <w:t>12.17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Offer</w:t>
            </w:r>
            <w:r>
              <w:rPr>
                <w:rFonts w:ascii="Times New Roman" w:cs="Times New Roman" w:eastAsia="Times New Roman" w:hAnsi="Times New Roman"/>
                <w:sz w:val="19"/>
                <w:szCs w:val="19"/>
                <w:color w:val="auto"/>
              </w:rPr>
              <w:t>”</w:t>
            </w:r>
          </w:p>
        </w:tc>
        <w:tc>
          <w:tcPr>
            <w:tcW w:w="354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rPr>
              <w:t>4.15(a)</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Payment</w:t>
            </w:r>
            <w:r>
              <w:rPr>
                <w:rFonts w:ascii="Times New Roman" w:cs="Times New Roman" w:eastAsia="Times New Roman" w:hAnsi="Times New Roman"/>
                <w:sz w:val="19"/>
                <w:szCs w:val="19"/>
                <w:color w:val="auto"/>
              </w:rPr>
              <w:t>”</w:t>
            </w:r>
          </w:p>
        </w:tc>
        <w:tc>
          <w:tcPr>
            <w:tcW w:w="354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rPr>
              <w:t>4.15(a)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Purchase Date</w:t>
            </w:r>
            <w:r>
              <w:rPr>
                <w:rFonts w:ascii="Times New Roman" w:cs="Times New Roman" w:eastAsia="Times New Roman" w:hAnsi="Times New Roman"/>
                <w:sz w:val="19"/>
                <w:szCs w:val="19"/>
                <w:color w:val="auto"/>
              </w:rPr>
              <w:t>”</w:t>
            </w:r>
          </w:p>
        </w:tc>
        <w:tc>
          <w:tcPr>
            <w:tcW w:w="354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rPr>
              <w:t>4.15(a)</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Covenant Defeasance</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8.03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DTC</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2.03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6.01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Excess Proceeds</w:t>
            </w:r>
            <w:r>
              <w:rPr>
                <w:rFonts w:ascii="Times New Roman" w:cs="Times New Roman" w:eastAsia="Times New Roman" w:hAnsi="Times New Roman"/>
                <w:sz w:val="19"/>
                <w:szCs w:val="19"/>
                <w:color w:val="auto"/>
              </w:rPr>
              <w:t>”</w:t>
            </w:r>
          </w:p>
        </w:tc>
        <w:tc>
          <w:tcPr>
            <w:tcW w:w="3540" w:type="dxa"/>
            <w:vAlign w:val="bottom"/>
          </w:tcPr>
          <w:p>
            <w:pPr>
              <w:spacing w:after="0"/>
              <w:rPr>
                <w:sz w:val="20"/>
                <w:szCs w:val="20"/>
                <w:color w:val="auto"/>
              </w:rPr>
            </w:pPr>
          </w:p>
        </w:tc>
        <w:tc>
          <w:tcPr>
            <w:tcW w:w="116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4.10(f)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incur</w:t>
            </w:r>
            <w:r>
              <w:rPr>
                <w:rFonts w:ascii="Times New Roman" w:cs="Times New Roman" w:eastAsia="Times New Roman" w:hAnsi="Times New Roman"/>
                <w:sz w:val="19"/>
                <w:szCs w:val="19"/>
                <w:color w:val="auto"/>
              </w:rPr>
              <w:t>”</w:t>
            </w:r>
          </w:p>
        </w:tc>
        <w:tc>
          <w:tcPr>
            <w:tcW w:w="354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rPr>
              <w:t>4.09(a)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Instruction</w:t>
            </w:r>
            <w:r>
              <w:rPr>
                <w:rFonts w:ascii="Times New Roman" w:cs="Times New Roman" w:eastAsia="Times New Roman" w:hAnsi="Times New Roman"/>
                <w:sz w:val="19"/>
                <w:szCs w:val="19"/>
                <w:color w:val="auto"/>
              </w:rPr>
              <w:t>”</w:t>
            </w:r>
          </w:p>
        </w:tc>
        <w:tc>
          <w:tcPr>
            <w:tcW w:w="4120" w:type="dxa"/>
            <w:vAlign w:val="bottom"/>
            <w:gridSpan w:val="2"/>
          </w:tcPr>
          <w:p>
            <w:pPr>
              <w:jc w:val="center"/>
              <w:ind w:left="3463"/>
              <w:spacing w:after="0"/>
              <w:rPr>
                <w:sz w:val="20"/>
                <w:szCs w:val="20"/>
                <w:color w:val="auto"/>
              </w:rPr>
            </w:pPr>
            <w:r>
              <w:rPr>
                <w:rFonts w:ascii="Times New Roman" w:cs="Times New Roman" w:eastAsia="Times New Roman" w:hAnsi="Times New Roman"/>
                <w:sz w:val="19"/>
                <w:szCs w:val="19"/>
                <w:color w:val="auto"/>
              </w:rPr>
              <w:t>12.17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Interest Payment Date</w:t>
            </w:r>
            <w:r>
              <w:rPr>
                <w:rFonts w:ascii="Times New Roman" w:cs="Times New Roman" w:eastAsia="Times New Roman" w:hAnsi="Times New Roman"/>
                <w:sz w:val="19"/>
                <w:szCs w:val="19"/>
                <w:color w:val="auto"/>
              </w:rPr>
              <w:t>”</w:t>
            </w:r>
          </w:p>
        </w:tc>
        <w:tc>
          <w:tcPr>
            <w:tcW w:w="4700" w:type="dxa"/>
            <w:vAlign w:val="bottom"/>
            <w:gridSpan w:val="3"/>
          </w:tcPr>
          <w:p>
            <w:pPr>
              <w:jc w:val="center"/>
              <w:ind w:left="2883"/>
              <w:spacing w:after="0"/>
              <w:rPr>
                <w:sz w:val="20"/>
                <w:szCs w:val="20"/>
                <w:color w:val="auto"/>
              </w:rPr>
            </w:pPr>
            <w:r>
              <w:rPr>
                <w:rFonts w:ascii="Times New Roman" w:cs="Times New Roman" w:eastAsia="Times New Roman" w:hAnsi="Times New Roman"/>
                <w:sz w:val="19"/>
                <w:szCs w:val="19"/>
                <w:color w:val="auto"/>
              </w:rPr>
              <w:t>Exhibit 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w:t>
            </w:r>
          </w:p>
        </w:tc>
        <w:tc>
          <w:tcPr>
            <w:tcW w:w="4700" w:type="dxa"/>
            <w:vAlign w:val="bottom"/>
            <w:gridSpan w:val="3"/>
          </w:tcPr>
          <w:p>
            <w:pPr>
              <w:jc w:val="center"/>
              <w:ind w:left="2863"/>
              <w:spacing w:after="0"/>
              <w:rPr>
                <w:sz w:val="20"/>
                <w:szCs w:val="20"/>
                <w:color w:val="auto"/>
              </w:rPr>
            </w:pPr>
            <w:r>
              <w:rPr>
                <w:rFonts w:ascii="Times New Roman" w:cs="Times New Roman" w:eastAsia="Times New Roman" w:hAnsi="Times New Roman"/>
                <w:sz w:val="19"/>
                <w:szCs w:val="19"/>
                <w:color w:val="auto"/>
              </w:rPr>
              <w:t>Preamble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Legal Defeasance</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8.02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Offer Amount</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3.09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Offer Period</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3.09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w:t>
            </w:r>
          </w:p>
        </w:tc>
        <w:tc>
          <w:tcPr>
            <w:tcW w:w="4120" w:type="dxa"/>
            <w:vAlign w:val="bottom"/>
            <w:gridSpan w:val="2"/>
          </w:tcPr>
          <w:p>
            <w:pPr>
              <w:jc w:val="center"/>
              <w:ind w:left="3443"/>
              <w:spacing w:after="0"/>
              <w:rPr>
                <w:sz w:val="20"/>
                <w:szCs w:val="20"/>
                <w:color w:val="auto"/>
              </w:rPr>
            </w:pPr>
            <w:r>
              <w:rPr>
                <w:rFonts w:ascii="Times New Roman" w:cs="Times New Roman" w:eastAsia="Times New Roman" w:hAnsi="Times New Roman"/>
                <w:sz w:val="19"/>
                <w:szCs w:val="19"/>
                <w:color w:val="auto"/>
              </w:rPr>
              <w:t>2.03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Payment Default</w:t>
            </w:r>
            <w:r>
              <w:rPr>
                <w:rFonts w:ascii="Times New Roman" w:cs="Times New Roman" w:eastAsia="Times New Roman" w:hAnsi="Times New Roman"/>
                <w:sz w:val="19"/>
                <w:szCs w:val="19"/>
                <w:color w:val="auto"/>
              </w:rPr>
              <w:t>”</w:t>
            </w:r>
          </w:p>
        </w:tc>
        <w:tc>
          <w:tcPr>
            <w:tcW w:w="4700" w:type="dxa"/>
            <w:vAlign w:val="bottom"/>
            <w:gridSpan w:val="3"/>
          </w:tcPr>
          <w:p>
            <w:pPr>
              <w:jc w:val="center"/>
              <w:ind w:left="2883"/>
              <w:spacing w:after="0"/>
              <w:rPr>
                <w:sz w:val="20"/>
                <w:szCs w:val="20"/>
                <w:color w:val="auto"/>
              </w:rPr>
            </w:pPr>
            <w:r>
              <w:rPr>
                <w:rFonts w:ascii="Times New Roman" w:cs="Times New Roman" w:eastAsia="Times New Roman" w:hAnsi="Times New Roman"/>
                <w:sz w:val="19"/>
                <w:szCs w:val="19"/>
                <w:color w:val="auto"/>
              </w:rPr>
              <w:t>6.01(g)(1)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w:t>
            </w:r>
          </w:p>
        </w:tc>
        <w:tc>
          <w:tcPr>
            <w:tcW w:w="3540" w:type="dxa"/>
            <w:vAlign w:val="bottom"/>
          </w:tcPr>
          <w:p>
            <w:pPr>
              <w:spacing w:after="0"/>
              <w:rPr>
                <w:sz w:val="22"/>
                <w:szCs w:val="22"/>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rPr>
              <w:t>4.09(b)</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180"/>
          </w:cols>
          <w:pgMar w:left="320" w:top="1440" w:right="399" w:bottom="1440" w:gutter="0" w:footer="0" w:header="0"/>
        </w:sectPr>
      </w:pPr>
    </w:p>
    <w:bookmarkStart w:id="47" w:name="page48"/>
    <w:bookmarkEnd w:id="47"/>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Term</w:t>
            </w:r>
          </w:p>
        </w:tc>
        <w:tc>
          <w:tcPr>
            <w:tcW w:w="4540" w:type="dxa"/>
            <w:vAlign w:val="bottom"/>
            <w:gridSpan w:val="3"/>
          </w:tcPr>
          <w:p>
            <w:pPr>
              <w:jc w:val="center"/>
              <w:ind w:left="3623"/>
              <w:spacing w:after="0"/>
              <w:rPr>
                <w:sz w:val="20"/>
                <w:szCs w:val="20"/>
                <w:color w:val="auto"/>
              </w:rPr>
            </w:pPr>
            <w:r>
              <w:rPr>
                <w:rFonts w:ascii="Times New Roman" w:cs="Times New Roman" w:eastAsia="Times New Roman" w:hAnsi="Times New Roman"/>
                <w:sz w:val="19"/>
                <w:szCs w:val="19"/>
                <w:color w:val="auto"/>
              </w:rPr>
              <w:t>Defined in</w:t>
            </w:r>
          </w:p>
        </w:tc>
        <w:tc>
          <w:tcPr>
            <w:tcW w:w="0" w:type="dxa"/>
            <w:vAlign w:val="bottom"/>
          </w:tcPr>
          <w:p>
            <w:pPr>
              <w:spacing w:after="0"/>
              <w:rPr>
                <w:sz w:val="1"/>
                <w:szCs w:val="1"/>
                <w:color w:val="auto"/>
              </w:rPr>
            </w:pPr>
          </w:p>
        </w:tc>
      </w:tr>
      <w:tr>
        <w:trPr>
          <w:trHeight w:val="199"/>
        </w:trPr>
        <w:tc>
          <w:tcPr>
            <w:tcW w:w="5480" w:type="dxa"/>
            <w:vAlign w:val="bottom"/>
            <w:gridSpan w:val="2"/>
            <w:vMerge w:val="continue"/>
          </w:tcPr>
          <w:p>
            <w:pPr>
              <w:spacing w:after="0"/>
              <w:rPr>
                <w:sz w:val="17"/>
                <w:szCs w:val="17"/>
                <w:color w:val="auto"/>
              </w:rPr>
            </w:pPr>
          </w:p>
        </w:tc>
        <w:tc>
          <w:tcPr>
            <w:tcW w:w="4540" w:type="dxa"/>
            <w:vAlign w:val="bottom"/>
            <w:gridSpan w:val="3"/>
          </w:tcPr>
          <w:p>
            <w:pPr>
              <w:jc w:val="center"/>
              <w:ind w:left="3623"/>
              <w:spacing w:after="0" w:line="199" w:lineRule="exact"/>
              <w:rPr>
                <w:sz w:val="20"/>
                <w:szCs w:val="20"/>
                <w:color w:val="auto"/>
              </w:rPr>
            </w:pPr>
            <w:r>
              <w:rPr>
                <w:rFonts w:ascii="Times New Roman" w:cs="Times New Roman" w:eastAsia="Times New Roman" w:hAnsi="Times New Roman"/>
                <w:sz w:val="19"/>
                <w:szCs w:val="19"/>
                <w:color w:val="auto"/>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Payment</w:t>
            </w:r>
            <w:r>
              <w:rPr>
                <w:rFonts w:ascii="Times New Roman" w:cs="Times New Roman" w:eastAsia="Times New Roman" w:hAnsi="Times New Roman"/>
                <w:sz w:val="19"/>
                <w:szCs w:val="19"/>
                <w:color w:val="auto"/>
              </w:rPr>
              <w:t>”</w:t>
            </w:r>
          </w:p>
        </w:tc>
        <w:tc>
          <w:tcPr>
            <w:tcW w:w="3840" w:type="dxa"/>
            <w:vAlign w:val="bottom"/>
          </w:tcPr>
          <w:p>
            <w:pPr>
              <w:spacing w:after="0"/>
              <w:rPr>
                <w:sz w:val="21"/>
                <w:szCs w:val="21"/>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4.07(b)</w:t>
            </w:r>
          </w:p>
        </w:tc>
        <w:tc>
          <w:tcPr>
            <w:tcW w:w="0" w:type="dxa"/>
            <w:vAlign w:val="bottom"/>
          </w:tcPr>
          <w:p>
            <w:pPr>
              <w:spacing w:after="0"/>
              <w:rPr>
                <w:sz w:val="1"/>
                <w:szCs w:val="1"/>
                <w:color w:val="auto"/>
              </w:rPr>
            </w:pPr>
          </w:p>
        </w:tc>
      </w:tr>
      <w:tr>
        <w:trPr>
          <w:trHeight w:val="239"/>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Purchase Date</w:t>
            </w:r>
            <w:r>
              <w:rPr>
                <w:rFonts w:ascii="Times New Roman" w:cs="Times New Roman" w:eastAsia="Times New Roman" w:hAnsi="Times New Roman"/>
                <w:sz w:val="19"/>
                <w:szCs w:val="19"/>
                <w:color w:val="auto"/>
              </w:rPr>
              <w:t>”</w:t>
            </w:r>
          </w:p>
        </w:tc>
        <w:tc>
          <w:tcPr>
            <w:tcW w:w="4420" w:type="dxa"/>
            <w:vAlign w:val="bottom"/>
            <w:gridSpan w:val="2"/>
          </w:tcPr>
          <w:p>
            <w:pPr>
              <w:jc w:val="center"/>
              <w:ind w:left="3743"/>
              <w:spacing w:after="0"/>
              <w:rPr>
                <w:sz w:val="20"/>
                <w:szCs w:val="20"/>
                <w:color w:val="auto"/>
              </w:rPr>
            </w:pPr>
            <w:r>
              <w:rPr>
                <w:rFonts w:ascii="Times New Roman" w:cs="Times New Roman" w:eastAsia="Times New Roman" w:hAnsi="Times New Roman"/>
                <w:sz w:val="19"/>
                <w:szCs w:val="19"/>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Registrar</w:t>
            </w:r>
            <w:r>
              <w:rPr>
                <w:rFonts w:ascii="Times New Roman" w:cs="Times New Roman" w:eastAsia="Times New Roman" w:hAnsi="Times New Roman"/>
                <w:sz w:val="19"/>
                <w:szCs w:val="19"/>
                <w:color w:val="auto"/>
              </w:rPr>
              <w:t>”</w:t>
            </w:r>
          </w:p>
        </w:tc>
        <w:tc>
          <w:tcPr>
            <w:tcW w:w="4420" w:type="dxa"/>
            <w:vAlign w:val="bottom"/>
            <w:gridSpan w:val="2"/>
          </w:tcPr>
          <w:p>
            <w:pPr>
              <w:jc w:val="center"/>
              <w:ind w:left="3743"/>
              <w:spacing w:after="0"/>
              <w:rPr>
                <w:sz w:val="20"/>
                <w:szCs w:val="20"/>
                <w:color w:val="auto"/>
              </w:rPr>
            </w:pPr>
            <w:r>
              <w:rPr>
                <w:rFonts w:ascii="Times New Roman" w:cs="Times New Roman" w:eastAsia="Times New Roman" w:hAnsi="Times New Roman"/>
                <w:sz w:val="19"/>
                <w:szCs w:val="19"/>
                <w:color w:val="auto"/>
              </w:rPr>
              <w:t>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Payments</w:t>
            </w:r>
            <w:r>
              <w:rPr>
                <w:rFonts w:ascii="Times New Roman" w:cs="Times New Roman" w:eastAsia="Times New Roman" w:hAnsi="Times New Roman"/>
                <w:sz w:val="19"/>
                <w:szCs w:val="19"/>
                <w:color w:val="auto"/>
              </w:rPr>
              <w:t>”</w:t>
            </w:r>
          </w:p>
        </w:tc>
        <w:tc>
          <w:tcPr>
            <w:tcW w:w="4540" w:type="dxa"/>
            <w:vAlign w:val="bottom"/>
            <w:gridSpan w:val="3"/>
          </w:tcPr>
          <w:p>
            <w:pPr>
              <w:jc w:val="center"/>
              <w:ind w:left="3623"/>
              <w:spacing w:after="0"/>
              <w:rPr>
                <w:sz w:val="20"/>
                <w:szCs w:val="20"/>
                <w:color w:val="auto"/>
              </w:rPr>
            </w:pPr>
            <w:r>
              <w:rPr>
                <w:rFonts w:ascii="Times New Roman" w:cs="Times New Roman" w:eastAsia="Times New Roman" w:hAnsi="Times New Roman"/>
                <w:sz w:val="19"/>
                <w:szCs w:val="19"/>
                <w:color w:val="auto"/>
              </w:rPr>
              <w:t>4.07(a)(4)</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1.03</w:t>
      </w:r>
      <w:r>
        <w:rPr>
          <w:sz w:val="20"/>
          <w:szCs w:val="20"/>
          <w:color w:val="auto"/>
        </w:rPr>
        <w:tab/>
      </w:r>
      <w:r>
        <w:rPr>
          <w:rFonts w:ascii="Times New Roman" w:cs="Times New Roman" w:eastAsia="Times New Roman" w:hAnsi="Times New Roman"/>
          <w:sz w:val="19"/>
          <w:szCs w:val="19"/>
          <w:i w:val="1"/>
          <w:iCs w:val="1"/>
          <w:color w:val="auto"/>
        </w:rPr>
        <w:t>No Incorporation by Reference of Trust Indenture Act.</w:t>
      </w:r>
    </w:p>
    <w:p>
      <w:pPr>
        <w:spacing w:after="0" w:line="194"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9"/>
          <w:szCs w:val="19"/>
          <w:color w:val="auto"/>
        </w:rPr>
        <w:t>This Indenture is not qualified under the TIA, and the TIA shall not apply to or in any way govern the terms of this Indenture, except to the extent required by law. Except as so required, no provisions of the TIA are incorporated into this Indenture unless expressly incorporated pursuant to this Indenture.</w:t>
      </w:r>
    </w:p>
    <w:p>
      <w:pPr>
        <w:spacing w:after="0" w:line="14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1.04</w:t>
        <w:tab/>
        <w:t>Rules of Construction.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Unless the context otherwise requires:</w:t>
      </w:r>
    </w:p>
    <w:p>
      <w:pPr>
        <w:spacing w:after="0" w:line="192" w:lineRule="exact"/>
        <w:rPr>
          <w:sz w:val="20"/>
          <w:szCs w:val="20"/>
          <w:color w:val="auto"/>
        </w:rPr>
      </w:pPr>
    </w:p>
    <w:p>
      <w:pPr>
        <w:ind w:left="1680" w:hanging="402"/>
        <w:spacing w:after="0"/>
        <w:tabs>
          <w:tab w:leader="none" w:pos="168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term has the meaning assigned to it;</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accounting term not otherwise defined has the meaning assigned to it in accordance with GAAP;</w:t>
      </w:r>
    </w:p>
    <w:p>
      <w:pPr>
        <w:spacing w:after="0" w:line="179"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is not exclusive;</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in the singular include the plural, and in the plural include the singular;</w:t>
      </w:r>
    </w:p>
    <w:p>
      <w:pPr>
        <w:spacing w:after="0" w:line="192"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shall be interpreted to express a command;</w:t>
      </w:r>
    </w:p>
    <w:p>
      <w:pPr>
        <w:spacing w:after="0" w:line="179"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apply to successive events and transactions;</w:t>
      </w:r>
    </w:p>
    <w:p>
      <w:pPr>
        <w:spacing w:after="0" w:line="192" w:lineRule="exact"/>
        <w:rPr>
          <w:rFonts w:ascii="Times New Roman" w:cs="Times New Roman" w:eastAsia="Times New Roman" w:hAnsi="Times New Roman"/>
          <w:sz w:val="19"/>
          <w:szCs w:val="19"/>
          <w:color w:val="auto"/>
        </w:rPr>
      </w:pPr>
    </w:p>
    <w:p>
      <w:pPr>
        <w:ind w:right="200" w:firstLine="1278"/>
        <w:spacing w:after="0" w:line="270" w:lineRule="auto"/>
        <w:tabs>
          <w:tab w:leader="none" w:pos="169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sections of or rules under the Securities Act will be deemed to include substitute, replacement of successor sections or rules adopted by the SEC from time to time;</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or “including” shall be deemed to be followed by the words “without limitation”; and</w:t>
      </w:r>
    </w:p>
    <w:p>
      <w:pPr>
        <w:spacing w:after="0" w:line="179" w:lineRule="exact"/>
        <w:rPr>
          <w:rFonts w:ascii="Times New Roman" w:cs="Times New Roman" w:eastAsia="Times New Roman" w:hAnsi="Times New Roman"/>
          <w:sz w:val="19"/>
          <w:szCs w:val="19"/>
          <w:color w:val="auto"/>
        </w:rPr>
      </w:pPr>
    </w:p>
    <w:p>
      <w:pPr>
        <w:ind w:right="100" w:firstLine="1278"/>
        <w:spacing w:after="0" w:line="270" w:lineRule="auto"/>
        <w:tabs>
          <w:tab w:leader="none" w:pos="164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“herein,” “hereof” and other words of similar import refer to this Indenture as a whole (as amended or supplemented from time to time) and not to any particular Article, Section or other subdivision.</w:t>
      </w:r>
    </w:p>
    <w:p>
      <w:pPr>
        <w:spacing w:after="0" w:line="1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ARTICLE 2</w:t>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THE NOTES</w:t>
      </w:r>
    </w:p>
    <w:p>
      <w:pPr>
        <w:spacing w:after="0" w:line="16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2.01</w:t>
      </w:r>
      <w:r>
        <w:rPr>
          <w:sz w:val="20"/>
          <w:szCs w:val="20"/>
          <w:color w:val="auto"/>
        </w:rPr>
        <w:tab/>
      </w:r>
      <w:r>
        <w:rPr>
          <w:rFonts w:ascii="Times New Roman" w:cs="Times New Roman" w:eastAsia="Times New Roman" w:hAnsi="Times New Roman"/>
          <w:sz w:val="19"/>
          <w:szCs w:val="19"/>
          <w:i w:val="1"/>
          <w:iCs w:val="1"/>
          <w:color w:val="auto"/>
        </w:rPr>
        <w:t>Form and Dating.</w:t>
      </w:r>
    </w:p>
    <w:p>
      <w:pPr>
        <w:spacing w:after="0" w:line="179" w:lineRule="exact"/>
        <w:rPr>
          <w:sz w:val="20"/>
          <w:szCs w:val="20"/>
          <w:color w:val="auto"/>
        </w:rPr>
      </w:pPr>
    </w:p>
    <w:p>
      <w:pPr>
        <w:jc w:val="both"/>
        <w:ind w:firstLine="1278"/>
        <w:spacing w:after="0" w:line="252" w:lineRule="auto"/>
        <w:tabs>
          <w:tab w:leader="none" w:pos="1735"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General</w:t>
      </w:r>
      <w:r>
        <w:rPr>
          <w:rFonts w:ascii="Times New Roman" w:cs="Times New Roman" w:eastAsia="Times New Roman" w:hAnsi="Times New Roman"/>
          <w:sz w:val="19"/>
          <w:szCs w:val="19"/>
          <w:color w:val="auto"/>
        </w:rPr>
        <w:t>. The Notes and the Trustee’s certificate of authentication will be substantially in the form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Notes may have notations, legends or endorsements required by law, stock exchange rule or usage. Each Note will be dated the date of its authentication. The Notes shall be in minimum denominations of $2,000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terms of the Notes will include those stated in this Indenture.</w:t>
      </w:r>
    </w:p>
    <w:p>
      <w:pPr>
        <w:spacing w:after="0" w:line="190" w:lineRule="exact"/>
        <w:rPr>
          <w:sz w:val="20"/>
          <w:szCs w:val="20"/>
          <w:color w:val="auto"/>
        </w:rPr>
      </w:pPr>
    </w:p>
    <w:p>
      <w:pPr>
        <w:jc w:val="both"/>
        <w:ind w:firstLine="1278"/>
        <w:spacing w:after="0" w:line="238" w:lineRule="auto"/>
        <w:tabs>
          <w:tab w:leader="none" w:pos="169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Global Notes</w:t>
      </w:r>
      <w:r>
        <w:rPr>
          <w:rFonts w:ascii="Times New Roman" w:cs="Times New Roman" w:eastAsia="Times New Roman" w:hAnsi="Times New Roman"/>
          <w:sz w:val="19"/>
          <w:szCs w:val="19"/>
          <w:color w:val="auto"/>
        </w:rPr>
        <w:t>. Notes issued in global form will be substantially in the form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hereto (including the Global Note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Legend thereon and the “Schedule of Increases or Decreases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or repurchases. Any endorsement of a Global Note to reflect the amount of any increase or decrease in the aggregate principal amount of outstanding Notes represented thereby will be made by the Trustee or the Custodian, at the direction of the Trustee, (i) in the case of an exchange, in accordance with instructions given by the Holder thereof as required by Section 2.06 or (ii) in the case of a redemption or repurchase, in accordance with Section 2.06(a).</w:t>
      </w:r>
    </w:p>
    <w:p>
      <w:pPr>
        <w:spacing w:after="0" w:line="161" w:lineRule="exact"/>
        <w:rPr>
          <w:rFonts w:ascii="Times New Roman" w:cs="Times New Roman" w:eastAsia="Times New Roman" w:hAnsi="Times New Roman"/>
          <w:sz w:val="19"/>
          <w:szCs w:val="19"/>
          <w:color w:val="auto"/>
        </w:rPr>
      </w:pPr>
    </w:p>
    <w:p>
      <w:pPr>
        <w:jc w:val="both"/>
        <w:ind w:firstLine="1278"/>
        <w:spacing w:after="0" w:line="246" w:lineRule="auto"/>
        <w:tabs>
          <w:tab w:leader="none" w:pos="168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Euroclear and Clearstream Procedures Applicable. </w:t>
      </w:r>
      <w:r>
        <w:rPr>
          <w:rFonts w:ascii="Times New Roman" w:cs="Times New Roman" w:eastAsia="Times New Roman" w:hAnsi="Times New Roman"/>
          <w:sz w:val="19"/>
          <w:szCs w:val="19"/>
          <w:color w:val="auto"/>
        </w:rPr>
        <w:t>The provisions of the “Operating Procedures of the Euroclear System”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“Terms 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37" w:lineRule="exact"/>
        <w:rPr>
          <w:rFonts w:ascii="Times New Roman" w:cs="Times New Roman" w:eastAsia="Times New Roman" w:hAnsi="Times New Roman"/>
          <w:sz w:val="19"/>
          <w:szCs w:val="19"/>
          <w:color w:val="auto"/>
        </w:rPr>
      </w:pPr>
    </w:p>
    <w:p>
      <w:pPr>
        <w:ind w:firstLine="1278"/>
        <w:spacing w:after="0" w:line="273" w:lineRule="auto"/>
        <w:tabs>
          <w:tab w:leader="none" w:pos="179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Definitive Notes</w:t>
      </w:r>
      <w:r>
        <w:rPr>
          <w:rFonts w:ascii="Times New Roman" w:cs="Times New Roman" w:eastAsia="Times New Roman" w:hAnsi="Times New Roman"/>
          <w:sz w:val="19"/>
          <w:szCs w:val="19"/>
          <w:color w:val="auto"/>
        </w:rPr>
        <w:t>. Notes issued in definitive form shall be substantially in the form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attached hereto (but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without the Global Note Legend thereon and without the “Schedule of Increases or Decreases of Interests in the Global Note” attached thereto).</w:t>
      </w:r>
    </w:p>
    <w:p>
      <w:pPr>
        <w:spacing w:after="0" w:line="12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2.02</w:t>
      </w:r>
      <w:r>
        <w:rPr>
          <w:sz w:val="20"/>
          <w:szCs w:val="20"/>
          <w:color w:val="auto"/>
        </w:rPr>
        <w:tab/>
      </w:r>
      <w:r>
        <w:rPr>
          <w:rFonts w:ascii="Times New Roman" w:cs="Times New Roman" w:eastAsia="Times New Roman" w:hAnsi="Times New Roman"/>
          <w:sz w:val="19"/>
          <w:szCs w:val="19"/>
          <w:i w:val="1"/>
          <w:iCs w:val="1"/>
          <w:color w:val="auto"/>
        </w:rPr>
        <w:t>Execution and Authentication.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At least one Officer must sign the Notes for the Issuer by manual, facsimile, electronic or electronically transmitted signature.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an Officer whose signature is on a Note no longer holds that office at the time a Note is authenticated, the Note will nevertheless be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valid.</w:t>
      </w:r>
    </w:p>
    <w:p>
      <w:pPr>
        <w:spacing w:after="0" w:line="170"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A Note will not be valid until authenticated by the manual signature of the Trustee. The signature will be conclusive evidence that the Note has been authenticated under this Indenture.</w:t>
      </w:r>
    </w:p>
    <w:p>
      <w:pPr>
        <w:spacing w:after="0" w:line="129"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The Trustee will, upon receipt of a written order of the Issuer signed by an Officer of the Issuer (an “</w:t>
      </w:r>
      <w:r>
        <w:rPr>
          <w:rFonts w:ascii="Times New Roman" w:cs="Times New Roman" w:eastAsia="Times New Roman" w:hAnsi="Times New Roman"/>
          <w:sz w:val="19"/>
          <w:szCs w:val="19"/>
          <w:i w:val="1"/>
          <w:iCs w:val="1"/>
          <w:color w:val="auto"/>
        </w:rPr>
        <w:t>Authentication Order</w:t>
      </w:r>
      <w:r>
        <w:rPr>
          <w:rFonts w:ascii="Times New Roman" w:cs="Times New Roman" w:eastAsia="Times New Roman" w:hAnsi="Times New Roman"/>
          <w:sz w:val="19"/>
          <w:szCs w:val="19"/>
          <w:color w:val="auto"/>
        </w:rPr>
        <w:t>”), authenticate Notes for original issue (i) on the Issue Date as Initial Notes in the aggregate principal amount of $600,000,000 and (ii) from time to time any Additional Notes that may be validly issued under this Indenture. The aggregate principal amount of Notes outstanding at any time may not exceed the aggregate principal amount of Notes authorized for issuance by the Issuer pursuant to one or more Authentication Orders, except as provided in Section 2.07.</w:t>
      </w:r>
    </w:p>
    <w:p>
      <w:pPr>
        <w:spacing w:after="0" w:line="146"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Trustee shall also authenticate and deliver Notes at the times and in the manner specified in Sections 2.06, 2.07, 2.10, 3.06, 3.09, 4.15 and 9.04.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3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2.03</w:t>
      </w:r>
      <w:r>
        <w:rPr>
          <w:sz w:val="20"/>
          <w:szCs w:val="20"/>
          <w:color w:val="auto"/>
        </w:rPr>
        <w:tab/>
      </w:r>
      <w:r>
        <w:rPr>
          <w:rFonts w:ascii="Times New Roman" w:cs="Times New Roman" w:eastAsia="Times New Roman" w:hAnsi="Times New Roman"/>
          <w:sz w:val="19"/>
          <w:szCs w:val="19"/>
          <w:i w:val="1"/>
          <w:iCs w:val="1"/>
          <w:color w:val="auto"/>
        </w:rPr>
        <w:t>Registrar and Paying Agent.</w:t>
      </w:r>
    </w:p>
    <w:p>
      <w:pPr>
        <w:spacing w:after="0" w:line="192"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9"/>
          <w:szCs w:val="19"/>
          <w:color w:val="auto"/>
        </w:rPr>
        <w:t>The Issuer will maintain an office or agency where Notes may be presented for registration of transfer or for exchange (“</w:t>
      </w:r>
      <w:r>
        <w:rPr>
          <w:rFonts w:ascii="Times New Roman" w:cs="Times New Roman" w:eastAsia="Times New Roman" w:hAnsi="Times New Roman"/>
          <w:sz w:val="19"/>
          <w:szCs w:val="19"/>
          <w:i w:val="1"/>
          <w:iCs w:val="1"/>
          <w:color w:val="auto"/>
        </w:rPr>
        <w:t>Registrar</w:t>
      </w:r>
      <w:r>
        <w:rPr>
          <w:rFonts w:ascii="Times New Roman" w:cs="Times New Roman" w:eastAsia="Times New Roman" w:hAnsi="Times New Roman"/>
          <w:sz w:val="19"/>
          <w:szCs w:val="19"/>
          <w:color w:val="auto"/>
        </w:rPr>
        <w:t>”) and an office or agency where Notes may be presented for payment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The Registrar will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Issuer initially appoints The Depository Trust Company (“</w:t>
      </w:r>
      <w:r>
        <w:rPr>
          <w:rFonts w:ascii="Times New Roman" w:cs="Times New Roman" w:eastAsia="Times New Roman" w:hAnsi="Times New Roman"/>
          <w:sz w:val="19"/>
          <w:szCs w:val="19"/>
          <w:i w:val="1"/>
          <w:iCs w:val="1"/>
          <w:color w:val="auto"/>
        </w:rPr>
        <w:t>DTC</w:t>
      </w:r>
      <w:r>
        <w:rPr>
          <w:rFonts w:ascii="Times New Roman" w:cs="Times New Roman" w:eastAsia="Times New Roman" w:hAnsi="Times New Roman"/>
          <w:sz w:val="19"/>
          <w:szCs w:val="19"/>
          <w:color w:val="auto"/>
        </w:rPr>
        <w:t>”) to act as Depositary with respect to the Global Notes.</w:t>
      </w:r>
    </w:p>
    <w:p>
      <w:pPr>
        <w:spacing w:after="0" w:line="181" w:lineRule="exact"/>
        <w:rPr>
          <w:sz w:val="20"/>
          <w:szCs w:val="20"/>
          <w:color w:val="auto"/>
        </w:rPr>
      </w:pPr>
    </w:p>
    <w:p>
      <w:pPr>
        <w:jc w:val="both"/>
        <w:ind w:right="20" w:firstLine="636"/>
        <w:spacing w:after="0" w:line="270" w:lineRule="auto"/>
        <w:rPr>
          <w:sz w:val="20"/>
          <w:szCs w:val="20"/>
          <w:color w:val="auto"/>
        </w:rPr>
      </w:pPr>
      <w:r>
        <w:rPr>
          <w:rFonts w:ascii="Times New Roman" w:cs="Times New Roman" w:eastAsia="Times New Roman" w:hAnsi="Times New Roman"/>
          <w:sz w:val="19"/>
          <w:szCs w:val="19"/>
          <w:color w:val="auto"/>
        </w:rPr>
        <w:t>The Issuer initially appoints the Trustee to act as the Registrar and Paying Agent (at its office indicated in the definition of Corporate Trust Office of the Trustee in Section 1.01) and to act as Custodian with respect to the Global Notes.</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2.04</w:t>
      </w:r>
      <w:r>
        <w:rPr>
          <w:sz w:val="20"/>
          <w:szCs w:val="20"/>
          <w:color w:val="auto"/>
        </w:rPr>
        <w:tab/>
      </w:r>
      <w:r>
        <w:rPr>
          <w:rFonts w:ascii="Times New Roman" w:cs="Times New Roman" w:eastAsia="Times New Roman" w:hAnsi="Times New Roman"/>
          <w:sz w:val="19"/>
          <w:szCs w:val="19"/>
          <w:i w:val="1"/>
          <w:iCs w:val="1"/>
          <w:color w:val="auto"/>
        </w:rPr>
        <w:t>Paying Agent to Hold Money in Trust.</w:t>
      </w:r>
    </w:p>
    <w:p>
      <w:pPr>
        <w:spacing w:after="0" w:line="19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w:t>
      </w:r>
    </w:p>
    <w:p>
      <w:pPr>
        <w:spacing w:after="0" w:line="35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2.05</w:t>
      </w:r>
      <w:r>
        <w:rPr>
          <w:sz w:val="20"/>
          <w:szCs w:val="20"/>
          <w:color w:val="auto"/>
        </w:rPr>
        <w:tab/>
      </w:r>
      <w:r>
        <w:rPr>
          <w:rFonts w:ascii="Times New Roman" w:cs="Times New Roman" w:eastAsia="Times New Roman" w:hAnsi="Times New Roman"/>
          <w:sz w:val="19"/>
          <w:szCs w:val="19"/>
          <w:i w:val="1"/>
          <w:iCs w:val="1"/>
          <w:color w:val="auto"/>
        </w:rPr>
        <w:t>Holder Lists.</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the Notes.</w:t>
      </w:r>
    </w:p>
    <w:p>
      <w:pPr>
        <w:spacing w:after="0" w:line="15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2.06</w:t>
      </w:r>
      <w:r>
        <w:rPr>
          <w:sz w:val="20"/>
          <w:szCs w:val="20"/>
          <w:color w:val="auto"/>
        </w:rPr>
        <w:tab/>
      </w:r>
      <w:r>
        <w:rPr>
          <w:rFonts w:ascii="Times New Roman" w:cs="Times New Roman" w:eastAsia="Times New Roman" w:hAnsi="Times New Roman"/>
          <w:sz w:val="19"/>
          <w:szCs w:val="19"/>
          <w:i w:val="1"/>
          <w:iCs w:val="1"/>
          <w:color w:val="auto"/>
        </w:rPr>
        <w:t>Transfer and Exchange.</w:t>
      </w:r>
    </w:p>
    <w:p>
      <w:pPr>
        <w:spacing w:after="0" w:line="179" w:lineRule="exact"/>
        <w:rPr>
          <w:sz w:val="20"/>
          <w:szCs w:val="20"/>
          <w:color w:val="auto"/>
        </w:rPr>
      </w:pPr>
    </w:p>
    <w:p>
      <w:pPr>
        <w:jc w:val="both"/>
        <w:ind w:firstLine="1278"/>
        <w:spacing w:after="0" w:line="252" w:lineRule="auto"/>
        <w:tabs>
          <w:tab w:leader="none" w:pos="170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and Exchange of Global Notes</w:t>
      </w:r>
      <w:r>
        <w:rPr>
          <w:rFonts w:ascii="Times New Roman" w:cs="Times New Roman" w:eastAsia="Times New Roman" w:hAnsi="Times New Roman"/>
          <w:sz w:val="19"/>
          <w:szCs w:val="19"/>
          <w:color w:val="auto"/>
        </w:rPr>
        <w:t>. A Global Note may not be transferred except as a whole by the Depositary to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nominee of the Depositary, by a nominee of the Depositary to the Depositary or to another nominee of the Depositary, or by the Depositary or any such nominee to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successor Depositary or a nominee of such successor Depositary. All Global Notes will be exchanged by the Issuer for Definitive Notes if:</w:t>
      </w:r>
    </w:p>
    <w:p>
      <w:pPr>
        <w:spacing w:after="0" w:line="179" w:lineRule="exact"/>
        <w:rPr>
          <w:sz w:val="20"/>
          <w:szCs w:val="20"/>
          <w:color w:val="auto"/>
        </w:rPr>
      </w:pPr>
    </w:p>
    <w:p>
      <w:pPr>
        <w:jc w:val="both"/>
        <w:ind w:left="640" w:firstLine="1274"/>
        <w:spacing w:after="0" w:line="251" w:lineRule="auto"/>
        <w:tabs>
          <w:tab w:leader="none" w:pos="240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Depositary notifies the Issuer that it is unwilling or unable to continue to act as Depositary or that it is no longer a clearing agency registered under the Exchange Act and, in either case, a successor Depositary is not appointed by the Issuer within 90 days after the date of such notice from the Depositary; or</w:t>
      </w:r>
    </w:p>
    <w:p>
      <w:pPr>
        <w:spacing w:after="0" w:line="149" w:lineRule="exact"/>
        <w:rPr>
          <w:rFonts w:ascii="Times New Roman" w:cs="Times New Roman" w:eastAsia="Times New Roman" w:hAnsi="Times New Roman"/>
          <w:sz w:val="19"/>
          <w:szCs w:val="19"/>
          <w:color w:val="auto"/>
        </w:rPr>
      </w:pPr>
    </w:p>
    <w:p>
      <w:pPr>
        <w:ind w:left="640" w:firstLine="1274"/>
        <w:spacing w:after="0" w:line="270" w:lineRule="auto"/>
        <w:tabs>
          <w:tab w:leader="none" w:pos="235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has occurred and is continuing an Event of Default and the Depositary notifies the Trustee of its decision to exchange such Global Note for Definitive Notes.</w:t>
      </w:r>
    </w:p>
    <w:p>
      <w:pPr>
        <w:spacing w:after="0" w:line="131"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Upon the occurrence of the preceding events in (1) or (2)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Whenever any provision herein refers to issuance by the Issuer and authentication and delivery by the Trustee of a new Note in exchange for the portion of a surrendered Note that has not been redeemed or repurchased, as the case may be, in lieu of the surrender of any Global Note and the issuance, authentication and delivery of a new Global Note in exchange therefor, the Trustee or the Depositary at the direction of the Trustee may endorse such Global Note to reflect a reduction in the principal amount represented thereby in the amount of Notes so represented that have been so redeemed or repurchased.</w:t>
      </w:r>
    </w:p>
    <w:p>
      <w:pPr>
        <w:spacing w:after="0" w:line="146" w:lineRule="exact"/>
        <w:rPr>
          <w:sz w:val="20"/>
          <w:szCs w:val="20"/>
          <w:color w:val="auto"/>
        </w:rPr>
      </w:pPr>
    </w:p>
    <w:p>
      <w:pPr>
        <w:jc w:val="both"/>
        <w:ind w:firstLine="1278"/>
        <w:spacing w:after="0" w:line="236" w:lineRule="auto"/>
        <w:tabs>
          <w:tab w:leader="none" w:pos="169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and Exchange of Beneficial Interests in the Global Notes</w:t>
      </w:r>
      <w:r>
        <w:rPr>
          <w:rFonts w:ascii="Times New Roman" w:cs="Times New Roman" w:eastAsia="Times New Roman" w:hAnsi="Times New Roman"/>
          <w:sz w:val="19"/>
          <w:szCs w:val="19"/>
          <w:color w:val="auto"/>
        </w:rPr>
        <w:t>. The transfer and exchange of beneficial interests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Global Notes will be effected through the Depositary, in accordance with the provisions of this Indenture and the Applicable Procedures. Participants and Indirect Participants shall have no rights under this Indenture with respect to any Global Note held on their behalf by the Depositary or by the Trustee as the Custodian with respect to the Global Notes, and the Issuer, the Trustee, any Agent and any agent of the Issuer or the Trustee shall be entitled to treat the Depositary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or the Indirect Participants, the operation of customary practices of such Depositary governing the exercise of the rights of a holder of a beneficial interest in any Global Note. Subject to the provisions of this Section 2.06 and Section 12.15, the Holder of a Global Note shall be entitled to grant proxies and otherwise authorize any Person, including Participants and Indirect Participants and Persons that may hold interests through such Persons, to take any action that a Holder is entitled to take under this Indenture or the Notes.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59"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37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of Beneficial Interests in the Same Global Note</w:t>
      </w:r>
      <w:r>
        <w:rPr>
          <w:rFonts w:ascii="Times New Roman" w:cs="Times New Roman" w:eastAsia="Times New Roman" w:hAnsi="Times New Roman"/>
          <w:sz w:val="19"/>
          <w:szCs w:val="19"/>
          <w:color w:val="auto"/>
        </w:rPr>
        <w:t>. Beneficial interests in any Restricted Global Note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transferred to Persons who take delivery thereof in the form of a beneficial interest in the same Restricted Global Note in accordance with the transfer restrictions set forth in the Private Placement Legend and any Applicable Procedures. Beneficial interests in any Unrestricted Global Note may be transferred to Persons who take delivery thereof in the form of a beneficial interest in an Unrestricted Global Note. Except as may be required by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any Applicable Procedures, no written orders or instructions shall be required to be delivered to the Registrar to effect the transfers described in this Section 2.06(b)(1).</w:t>
      </w:r>
    </w:p>
    <w:p>
      <w:pPr>
        <w:spacing w:after="0" w:line="116" w:lineRule="exact"/>
        <w:rPr>
          <w:sz w:val="20"/>
          <w:szCs w:val="20"/>
          <w:color w:val="auto"/>
        </w:rPr>
      </w:pPr>
    </w:p>
    <w:p>
      <w:pPr>
        <w:jc w:val="both"/>
        <w:ind w:firstLine="1274"/>
        <w:spacing w:after="0" w:line="252" w:lineRule="auto"/>
        <w:tabs>
          <w:tab w:leader="none" w:pos="174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All Other Transfers and Exchanges of Beneficial Interests in Global Notes. </w:t>
      </w:r>
      <w:r>
        <w:rPr>
          <w:rFonts w:ascii="Times New Roman" w:cs="Times New Roman" w:eastAsia="Times New Roman" w:hAnsi="Times New Roman"/>
          <w:sz w:val="19"/>
          <w:szCs w:val="19"/>
          <w:color w:val="auto"/>
        </w:rPr>
        <w:t>In connection with all transfers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exchanges of beneficial interests that are not subject to Section 2.06(b)(1) above, the transferor of such beneficial interest must deliver to the Registrar either:</w:t>
      </w:r>
    </w:p>
    <w:p>
      <w:pPr>
        <w:spacing w:after="0" w:line="148" w:lineRule="exact"/>
        <w:rPr>
          <w:rFonts w:ascii="Times New Roman" w:cs="Times New Roman" w:eastAsia="Times New Roman" w:hAnsi="Times New Roman"/>
          <w:sz w:val="19"/>
          <w:szCs w:val="19"/>
          <w:color w:val="auto"/>
        </w:rPr>
      </w:pPr>
    </w:p>
    <w:p>
      <w:pPr>
        <w:ind w:left="2380" w:hanging="470"/>
        <w:spacing w:after="0"/>
        <w:tabs>
          <w:tab w:leader="none" w:pos="238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w:t>
      </w:r>
    </w:p>
    <w:p>
      <w:pPr>
        <w:spacing w:after="0" w:line="192" w:lineRule="exact"/>
        <w:rPr>
          <w:rFonts w:ascii="Times New Roman" w:cs="Times New Roman" w:eastAsia="Times New Roman" w:hAnsi="Times New Roman"/>
          <w:sz w:val="19"/>
          <w:szCs w:val="19"/>
          <w:color w:val="auto"/>
        </w:rPr>
      </w:pPr>
    </w:p>
    <w:p>
      <w:pPr>
        <w:jc w:val="both"/>
        <w:ind w:left="1280" w:right="80" w:firstLine="1266"/>
        <w:spacing w:after="0" w:line="251" w:lineRule="auto"/>
        <w:tabs>
          <w:tab w:leader="none" w:pos="2929"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36" w:lineRule="exact"/>
        <w:rPr>
          <w:rFonts w:ascii="Times New Roman" w:cs="Times New Roman" w:eastAsia="Times New Roman" w:hAnsi="Times New Roman"/>
          <w:sz w:val="19"/>
          <w:szCs w:val="19"/>
          <w:color w:val="auto"/>
        </w:rPr>
      </w:pPr>
    </w:p>
    <w:p>
      <w:pPr>
        <w:ind w:left="1280" w:firstLine="1266"/>
        <w:spacing w:after="0" w:line="270" w:lineRule="auto"/>
        <w:tabs>
          <w:tab w:leader="none" w:pos="3224"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instructions given in accordance with the Applicable Procedures containing information regarding the Participant account to be credited with such increase; or</w:t>
      </w:r>
    </w:p>
    <w:p>
      <w:pPr>
        <w:spacing w:after="0" w:line="131" w:lineRule="exact"/>
        <w:rPr>
          <w:rFonts w:ascii="Times New Roman" w:cs="Times New Roman" w:eastAsia="Times New Roman" w:hAnsi="Times New Roman"/>
          <w:sz w:val="19"/>
          <w:szCs w:val="19"/>
          <w:color w:val="auto"/>
        </w:rPr>
      </w:pPr>
    </w:p>
    <w:p>
      <w:pPr>
        <w:ind w:left="2360" w:hanging="450"/>
        <w:spacing w:after="0"/>
        <w:tabs>
          <w:tab w:leader="none" w:pos="236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w:t>
      </w:r>
    </w:p>
    <w:p>
      <w:pPr>
        <w:spacing w:after="0" w:line="192" w:lineRule="exact"/>
        <w:rPr>
          <w:rFonts w:ascii="Times New Roman" w:cs="Times New Roman" w:eastAsia="Times New Roman" w:hAnsi="Times New Roman"/>
          <w:sz w:val="19"/>
          <w:szCs w:val="19"/>
          <w:color w:val="auto"/>
        </w:rPr>
      </w:pPr>
    </w:p>
    <w:p>
      <w:pPr>
        <w:ind w:left="1280" w:right="120" w:firstLine="1266"/>
        <w:spacing w:after="0" w:line="251" w:lineRule="auto"/>
        <w:tabs>
          <w:tab w:leader="none" w:pos="2929"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36" w:lineRule="exact"/>
        <w:rPr>
          <w:rFonts w:ascii="Times New Roman" w:cs="Times New Roman" w:eastAsia="Times New Roman" w:hAnsi="Times New Roman"/>
          <w:sz w:val="19"/>
          <w:szCs w:val="19"/>
          <w:color w:val="auto"/>
        </w:rPr>
      </w:pPr>
    </w:p>
    <w:p>
      <w:pPr>
        <w:ind w:left="1280" w:firstLine="1266"/>
        <w:spacing w:after="0" w:line="270" w:lineRule="auto"/>
        <w:tabs>
          <w:tab w:leader="none" w:pos="3000" w:val="left"/>
        </w:tabs>
        <w:numPr>
          <w:ilvl w:val="2"/>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instructions given by the Depositary to the Registrar containing information regarding the Person in whose name such Definitive Note shall be registered to effect the transfer or exchange referred to in (1) above.</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w:t>
      </w:r>
    </w:p>
    <w:p>
      <w:pPr>
        <w:spacing w:after="0" w:line="147" w:lineRule="exact"/>
        <w:rPr>
          <w:sz w:val="20"/>
          <w:szCs w:val="20"/>
          <w:color w:val="auto"/>
        </w:rPr>
      </w:pPr>
    </w:p>
    <w:p>
      <w:pPr>
        <w:jc w:val="both"/>
        <w:ind w:firstLine="1274"/>
        <w:spacing w:after="0" w:line="252" w:lineRule="auto"/>
        <w:tabs>
          <w:tab w:leader="none" w:pos="171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Transfer of Beneficial Interests to Another Restricted Global Note. </w:t>
      </w:r>
      <w:r>
        <w:rPr>
          <w:rFonts w:ascii="Times New Roman" w:cs="Times New Roman" w:eastAsia="Times New Roman" w:hAnsi="Times New Roman"/>
          <w:sz w:val="19"/>
          <w:szCs w:val="19"/>
          <w:color w:val="auto"/>
        </w:rPr>
        <w:t>A beneficial interest in any Restricted Global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35" w:lineRule="exact"/>
        <w:rPr>
          <w:rFonts w:ascii="Times New Roman" w:cs="Times New Roman" w:eastAsia="Times New Roman" w:hAnsi="Times New Roman"/>
          <w:sz w:val="19"/>
          <w:szCs w:val="19"/>
          <w:color w:val="auto"/>
        </w:rPr>
      </w:pPr>
    </w:p>
    <w:p>
      <w:pPr>
        <w:ind w:left="640" w:firstLine="1270"/>
        <w:spacing w:after="0" w:line="270" w:lineRule="auto"/>
        <w:tabs>
          <w:tab w:leader="none" w:pos="2415"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31" w:lineRule="exact"/>
        <w:rPr>
          <w:rFonts w:ascii="Times New Roman" w:cs="Times New Roman" w:eastAsia="Times New Roman" w:hAnsi="Times New Roman"/>
          <w:sz w:val="19"/>
          <w:szCs w:val="19"/>
          <w:color w:val="auto"/>
        </w:rPr>
      </w:pPr>
    </w:p>
    <w:p>
      <w:pPr>
        <w:jc w:val="both"/>
        <w:ind w:left="640" w:firstLine="1270"/>
        <w:spacing w:after="0" w:line="245" w:lineRule="auto"/>
        <w:tabs>
          <w:tab w:leader="none" w:pos="2411"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transferee shall take delivery in the form of a beneficial interest in the Regulation S Global Note, then the transferor shall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 or, if permitted by the Applicable Procedures, item (3)(a) thereof (if available), then the transferee must hold such interests through Euroclear or Clearstream (as Participants in the Depositary);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0600"/>
          </w:cols>
          <w:pgMar w:left="960" w:top="1440" w:right="339" w:bottom="1440" w:gutter="0" w:footer="0" w:header="0"/>
        </w:sectPr>
      </w:pPr>
    </w:p>
    <w:bookmarkStart w:id="52" w:name="page53"/>
    <w:bookmarkEnd w:id="52"/>
    <w:p>
      <w:pPr>
        <w:spacing w:after="0" w:line="148" w:lineRule="exact"/>
        <w:rPr>
          <w:sz w:val="20"/>
          <w:szCs w:val="20"/>
          <w:color w:val="auto"/>
        </w:rPr>
      </w:pPr>
    </w:p>
    <w:p>
      <w:pPr>
        <w:jc w:val="both"/>
        <w:ind w:left="1280" w:firstLine="1270"/>
        <w:spacing w:after="0" w:line="251" w:lineRule="auto"/>
        <w:tabs>
          <w:tab w:leader="none" w:pos="3074"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transferee will take delivery in the form of a beneficial interest in the IAI Global Note,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certificates and Opinion of Counsel required by item (3)(d) thereof, if applicable.</w:t>
      </w:r>
    </w:p>
    <w:p>
      <w:pPr>
        <w:spacing w:after="0" w:line="134" w:lineRule="exact"/>
        <w:rPr>
          <w:rFonts w:ascii="Times New Roman" w:cs="Times New Roman" w:eastAsia="Times New Roman" w:hAnsi="Times New Roman"/>
          <w:sz w:val="19"/>
          <w:szCs w:val="19"/>
          <w:color w:val="auto"/>
        </w:rPr>
      </w:pPr>
    </w:p>
    <w:p>
      <w:pPr>
        <w:jc w:val="both"/>
        <w:ind w:left="640" w:firstLine="1274"/>
        <w:spacing w:after="0" w:line="246" w:lineRule="auto"/>
        <w:tabs>
          <w:tab w:leader="none" w:pos="251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Transfer and Exchange of Beneficial Interests in a Restricted Global Note for Beneficial Interests in an Unrestricted Global Note. </w:t>
      </w:r>
      <w:r>
        <w:rPr>
          <w:rFonts w:ascii="Times New Roman" w:cs="Times New Roman" w:eastAsia="Times New Roman" w:hAnsi="Times New Roman"/>
          <w:sz w:val="19"/>
          <w:szCs w:val="19"/>
          <w:color w:val="auto"/>
        </w:rPr>
        <w:t>A beneficial interest in any Restricted Global Note may be exchanged by any holder thereof for a beneficial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152" w:lineRule="exact"/>
        <w:rPr>
          <w:rFonts w:ascii="Times New Roman" w:cs="Times New Roman" w:eastAsia="Times New Roman" w:hAnsi="Times New Roman"/>
          <w:sz w:val="19"/>
          <w:szCs w:val="19"/>
          <w:color w:val="auto"/>
        </w:rPr>
      </w:pPr>
    </w:p>
    <w:p>
      <w:pPr>
        <w:ind w:left="3020" w:hanging="470"/>
        <w:spacing w:after="0"/>
        <w:tabs>
          <w:tab w:leader="none" w:pos="302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3000" w:hanging="450"/>
        <w:spacing w:after="0"/>
        <w:tabs>
          <w:tab w:leader="none" w:pos="300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79" w:lineRule="exact"/>
        <w:rPr>
          <w:rFonts w:ascii="Times New Roman" w:cs="Times New Roman" w:eastAsia="Times New Roman" w:hAnsi="Times New Roman"/>
          <w:sz w:val="19"/>
          <w:szCs w:val="19"/>
          <w:color w:val="auto"/>
        </w:rPr>
      </w:pPr>
    </w:p>
    <w:p>
      <w:pPr>
        <w:ind w:left="3000" w:hanging="450"/>
        <w:spacing w:after="0"/>
        <w:tabs>
          <w:tab w:leader="none" w:pos="300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3020" w:hanging="470"/>
        <w:spacing w:after="0"/>
        <w:tabs>
          <w:tab w:leader="none" w:pos="302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receives the following:</w:t>
      </w:r>
    </w:p>
    <w:p>
      <w:pPr>
        <w:spacing w:after="0" w:line="192" w:lineRule="exact"/>
        <w:rPr>
          <w:rFonts w:ascii="Times New Roman" w:cs="Times New Roman" w:eastAsia="Times New Roman" w:hAnsi="Times New Roman"/>
          <w:sz w:val="19"/>
          <w:szCs w:val="19"/>
          <w:color w:val="auto"/>
        </w:rPr>
      </w:pPr>
    </w:p>
    <w:p>
      <w:pPr>
        <w:ind w:left="1920" w:right="140" w:firstLine="1266"/>
        <w:spacing w:after="0" w:line="251" w:lineRule="auto"/>
        <w:tabs>
          <w:tab w:leader="none" w:pos="3569"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(1)(a) thereof; or</w:t>
      </w:r>
    </w:p>
    <w:p>
      <w:pPr>
        <w:spacing w:after="0" w:line="136" w:lineRule="exact"/>
        <w:rPr>
          <w:rFonts w:ascii="Times New Roman" w:cs="Times New Roman" w:eastAsia="Times New Roman" w:hAnsi="Times New Roman"/>
          <w:sz w:val="19"/>
          <w:szCs w:val="19"/>
          <w:color w:val="auto"/>
        </w:rPr>
      </w:pPr>
    </w:p>
    <w:p>
      <w:pPr>
        <w:jc w:val="both"/>
        <w:ind w:left="1920" w:firstLine="1266"/>
        <w:spacing w:after="0" w:line="246" w:lineRule="auto"/>
        <w:tabs>
          <w:tab w:leader="none" w:pos="3721"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375" w:lineRule="exact"/>
        <w:rPr>
          <w:sz w:val="20"/>
          <w:szCs w:val="20"/>
          <w:color w:val="auto"/>
        </w:rPr>
      </w:pPr>
    </w:p>
    <w:p>
      <w:pPr>
        <w:jc w:val="both"/>
        <w:ind w:left="1280"/>
        <w:spacing w:after="0" w:line="245" w:lineRule="auto"/>
        <w:rPr>
          <w:sz w:val="20"/>
          <w:szCs w:val="20"/>
          <w:color w:val="auto"/>
        </w:rPr>
      </w:pPr>
      <w:r>
        <w:rPr>
          <w:rFonts w:ascii="Times New Roman" w:cs="Times New Roman" w:eastAsia="Times New Roman" w:hAnsi="Times New Roman"/>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If any such transfer or exchange is effected pursuant to subparagraph (D)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or exchanged pursuant to subparagraph (D) above.</w:t>
      </w:r>
    </w:p>
    <w:p>
      <w:pPr>
        <w:spacing w:after="0" w:line="14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Beneficial interests in an Unrestricted Global Note cannot be exchanged for, or transferred to Persons who take delivery thereof in the form of, a beneficial interest in a Restricted Global Note.</w:t>
      </w:r>
    </w:p>
    <w:p>
      <w:pPr>
        <w:spacing w:after="0" w:line="129" w:lineRule="exact"/>
        <w:rPr>
          <w:sz w:val="20"/>
          <w:szCs w:val="20"/>
          <w:color w:val="auto"/>
        </w:rPr>
      </w:pPr>
    </w:p>
    <w:p>
      <w:pPr>
        <w:ind w:left="1680" w:hanging="402"/>
        <w:spacing w:after="0"/>
        <w:tabs>
          <w:tab w:leader="none" w:pos="16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or Exchange of Beneficial Interests for Definitive Notes</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ind w:left="640" w:firstLine="1274"/>
        <w:spacing w:after="0" w:line="273" w:lineRule="auto"/>
        <w:tabs>
          <w:tab w:leader="none" w:pos="2346"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Beneficial Interests in Restricted Global Notes to Restricted Definitive Notes. </w:t>
      </w:r>
      <w:r>
        <w:rPr>
          <w:rFonts w:ascii="Times New Roman" w:cs="Times New Roman" w:eastAsia="Times New Roman" w:hAnsi="Times New Roman"/>
          <w:sz w:val="19"/>
          <w:szCs w:val="19"/>
          <w:color w:val="auto"/>
        </w:rPr>
        <w:t>If any holder of a beneficial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a Restricted Global Note proposes to exchange such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18" w:lineRule="exact"/>
        <w:rPr>
          <w:sz w:val="20"/>
          <w:szCs w:val="20"/>
          <w:color w:val="auto"/>
        </w:rPr>
      </w:pPr>
    </w:p>
    <w:p>
      <w:pPr>
        <w:jc w:val="both"/>
        <w:ind w:left="640" w:firstLine="1270"/>
        <w:spacing w:after="0" w:line="251" w:lineRule="auto"/>
        <w:tabs>
          <w:tab w:leader="none" w:pos="239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(2)(a) thereof;</w:t>
      </w:r>
    </w:p>
    <w:p>
      <w:pPr>
        <w:spacing w:after="0" w:line="149" w:lineRule="exact"/>
        <w:rPr>
          <w:rFonts w:ascii="Times New Roman" w:cs="Times New Roman" w:eastAsia="Times New Roman" w:hAnsi="Times New Roman"/>
          <w:sz w:val="19"/>
          <w:szCs w:val="19"/>
          <w:color w:val="auto"/>
        </w:rPr>
      </w:pPr>
    </w:p>
    <w:p>
      <w:pPr>
        <w:ind w:left="640" w:firstLine="1270"/>
        <w:spacing w:after="0" w:line="270" w:lineRule="auto"/>
        <w:tabs>
          <w:tab w:leader="none" w:pos="238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31" w:lineRule="exact"/>
        <w:rPr>
          <w:rFonts w:ascii="Times New Roman" w:cs="Times New Roman" w:eastAsia="Times New Roman" w:hAnsi="Times New Roman"/>
          <w:sz w:val="19"/>
          <w:szCs w:val="19"/>
          <w:color w:val="auto"/>
        </w:rPr>
      </w:pPr>
    </w:p>
    <w:p>
      <w:pPr>
        <w:jc w:val="both"/>
        <w:ind w:left="640" w:firstLine="1270"/>
        <w:spacing w:after="0" w:line="251" w:lineRule="auto"/>
        <w:tabs>
          <w:tab w:leader="none" w:pos="238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a Non-U.S. Person in an offshore transaction (as defined in Section 902(h) of Regulation S) in accordance with Rule 903 or Rule 904,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w:t>
      </w:r>
    </w:p>
    <w:p>
      <w:pPr>
        <w:spacing w:after="0" w:line="136" w:lineRule="exact"/>
        <w:rPr>
          <w:rFonts w:ascii="Times New Roman" w:cs="Times New Roman" w:eastAsia="Times New Roman" w:hAnsi="Times New Roman"/>
          <w:sz w:val="19"/>
          <w:szCs w:val="19"/>
          <w:color w:val="auto"/>
        </w:rPr>
      </w:pPr>
    </w:p>
    <w:p>
      <w:pPr>
        <w:jc w:val="both"/>
        <w:ind w:left="640" w:firstLine="1270"/>
        <w:spacing w:after="0" w:line="251" w:lineRule="auto"/>
        <w:tabs>
          <w:tab w:leader="none" w:pos="253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(3)(a) thereof;</w:t>
      </w:r>
    </w:p>
    <w:p>
      <w:pPr>
        <w:spacing w:after="0" w:line="149" w:lineRule="exact"/>
        <w:rPr>
          <w:rFonts w:ascii="Times New Roman" w:cs="Times New Roman" w:eastAsia="Times New Roman" w:hAnsi="Times New Roman"/>
          <w:sz w:val="19"/>
          <w:szCs w:val="19"/>
          <w:color w:val="auto"/>
        </w:rPr>
      </w:pPr>
    </w:p>
    <w:p>
      <w:pPr>
        <w:jc w:val="both"/>
        <w:ind w:left="640" w:firstLine="1270"/>
        <w:spacing w:after="0" w:line="245" w:lineRule="auto"/>
        <w:tabs>
          <w:tab w:leader="none" w:pos="243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certificates and Opinion of Counsel required by item (3)(d) thereof, if applicable;</w:t>
      </w:r>
    </w:p>
    <w:p>
      <w:pPr>
        <w:spacing w:after="0" w:line="154" w:lineRule="exact"/>
        <w:rPr>
          <w:rFonts w:ascii="Times New Roman" w:cs="Times New Roman" w:eastAsia="Times New Roman" w:hAnsi="Times New Roman"/>
          <w:sz w:val="19"/>
          <w:szCs w:val="19"/>
          <w:color w:val="auto"/>
        </w:rPr>
      </w:pPr>
    </w:p>
    <w:p>
      <w:pPr>
        <w:ind w:left="640" w:firstLine="1270"/>
        <w:spacing w:after="0" w:line="270" w:lineRule="auto"/>
        <w:tabs>
          <w:tab w:leader="none" w:pos="239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to the Issuer or any of its Subsidiaries,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(3)(b) thereof; or</w:t>
      </w:r>
    </w:p>
    <w:p>
      <w:pPr>
        <w:spacing w:after="0" w:line="117" w:lineRule="exact"/>
        <w:rPr>
          <w:rFonts w:ascii="Times New Roman" w:cs="Times New Roman" w:eastAsia="Times New Roman" w:hAnsi="Times New Roman"/>
          <w:sz w:val="19"/>
          <w:szCs w:val="19"/>
          <w:color w:val="auto"/>
        </w:rPr>
      </w:pPr>
    </w:p>
    <w:p>
      <w:pPr>
        <w:ind w:left="640" w:firstLine="1270"/>
        <w:spacing w:after="0" w:line="270" w:lineRule="auto"/>
        <w:tabs>
          <w:tab w:leader="none" w:pos="245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(3)(c) thereof,</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w:t>
      </w:r>
    </w:p>
    <w:p>
      <w:pPr>
        <w:spacing w:after="0" w:line="2" w:lineRule="exact"/>
        <w:rPr>
          <w:sz w:val="20"/>
          <w:szCs w:val="20"/>
          <w:color w:val="auto"/>
        </w:rPr>
      </w:pPr>
    </w:p>
    <w:p>
      <w:pPr>
        <w:ind w:left="280" w:hanging="278"/>
        <w:spacing w:after="0"/>
        <w:tabs>
          <w:tab w:leader="none" w:pos="2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bear the Private Placement Legend and shall be subject to all restrictions on transfer contained therein.</w:t>
      </w:r>
    </w:p>
    <w:p>
      <w:pPr>
        <w:spacing w:after="0" w:line="168" w:lineRule="exact"/>
        <w:rPr>
          <w:rFonts w:ascii="Times New Roman" w:cs="Times New Roman" w:eastAsia="Times New Roman" w:hAnsi="Times New Roman"/>
          <w:sz w:val="19"/>
          <w:szCs w:val="19"/>
          <w:color w:val="auto"/>
        </w:rPr>
      </w:pPr>
    </w:p>
    <w:p>
      <w:pPr>
        <w:ind w:firstLine="1274"/>
        <w:spacing w:after="0" w:line="273" w:lineRule="auto"/>
        <w:tabs>
          <w:tab w:leader="none" w:pos="1692"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Beneficial Interests in Restricted Global Notes to Unrestricted Definitive Notes. </w:t>
      </w:r>
      <w:r>
        <w:rPr>
          <w:rFonts w:ascii="Times New Roman" w:cs="Times New Roman" w:eastAsia="Times New Roman" w:hAnsi="Times New Roman"/>
          <w:sz w:val="19"/>
          <w:szCs w:val="19"/>
          <w:color w:val="auto"/>
        </w:rPr>
        <w:t>A holder of a beneficial interest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Restricted Global Note may exchange such beneficial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0600"/>
          </w:cols>
          <w:pgMar w:left="960" w:top="1440" w:right="339" w:bottom="1440" w:gutter="0" w:footer="0" w:header="0"/>
        </w:sectPr>
      </w:pPr>
    </w:p>
    <w:bookmarkStart w:id="54" w:name="page55"/>
    <w:bookmarkEnd w:id="54"/>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interest for an Unrestricted Definitive Note or may transfer such beneficial interest to a Person who takes delivery thereof in the form of an Unrestricted Definitive Note only if:</w:t>
      </w:r>
    </w:p>
    <w:p>
      <w:pPr>
        <w:spacing w:after="0" w:line="118" w:lineRule="exact"/>
        <w:rPr>
          <w:sz w:val="20"/>
          <w:szCs w:val="20"/>
          <w:color w:val="auto"/>
        </w:rPr>
      </w:pPr>
    </w:p>
    <w:p>
      <w:pPr>
        <w:ind w:left="2380" w:hanging="470"/>
        <w:spacing w:after="0"/>
        <w:tabs>
          <w:tab w:leader="none" w:pos="23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2360" w:hanging="450"/>
        <w:spacing w:after="0"/>
        <w:tabs>
          <w:tab w:leader="none" w:pos="23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2360" w:hanging="450"/>
        <w:spacing w:after="0"/>
        <w:tabs>
          <w:tab w:leader="none" w:pos="23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79" w:lineRule="exact"/>
        <w:rPr>
          <w:rFonts w:ascii="Times New Roman" w:cs="Times New Roman" w:eastAsia="Times New Roman" w:hAnsi="Times New Roman"/>
          <w:sz w:val="19"/>
          <w:szCs w:val="19"/>
          <w:color w:val="auto"/>
        </w:rPr>
      </w:pPr>
    </w:p>
    <w:p>
      <w:pPr>
        <w:ind w:left="2380" w:hanging="470"/>
        <w:spacing w:after="0"/>
        <w:tabs>
          <w:tab w:leader="none" w:pos="23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receives the following:</w:t>
      </w:r>
    </w:p>
    <w:p>
      <w:pPr>
        <w:spacing w:after="0" w:line="192" w:lineRule="exact"/>
        <w:rPr>
          <w:rFonts w:ascii="Times New Roman" w:cs="Times New Roman" w:eastAsia="Times New Roman" w:hAnsi="Times New Roman"/>
          <w:sz w:val="19"/>
          <w:szCs w:val="19"/>
          <w:color w:val="auto"/>
        </w:rPr>
      </w:pPr>
    </w:p>
    <w:p>
      <w:pPr>
        <w:ind w:left="1280" w:right="280" w:firstLine="1266"/>
        <w:spacing w:after="0" w:line="251" w:lineRule="auto"/>
        <w:tabs>
          <w:tab w:leader="none" w:pos="2929"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(1)(b) thereof; or</w:t>
      </w:r>
    </w:p>
    <w:p>
      <w:pPr>
        <w:spacing w:after="0" w:line="149" w:lineRule="exact"/>
        <w:rPr>
          <w:rFonts w:ascii="Times New Roman" w:cs="Times New Roman" w:eastAsia="Times New Roman" w:hAnsi="Times New Roman"/>
          <w:sz w:val="19"/>
          <w:szCs w:val="19"/>
          <w:color w:val="auto"/>
        </w:rPr>
      </w:pPr>
    </w:p>
    <w:p>
      <w:pPr>
        <w:jc w:val="both"/>
        <w:ind w:left="1280" w:firstLine="1266"/>
        <w:spacing w:after="0" w:line="251" w:lineRule="auto"/>
        <w:tabs>
          <w:tab w:leader="none" w:pos="3081"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36"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3" w:lineRule="exact"/>
        <w:rPr>
          <w:sz w:val="20"/>
          <w:szCs w:val="20"/>
          <w:color w:val="auto"/>
        </w:rPr>
      </w:pPr>
    </w:p>
    <w:p>
      <w:pPr>
        <w:jc w:val="both"/>
        <w:ind w:firstLine="1274"/>
        <w:spacing w:after="0" w:line="237" w:lineRule="auto"/>
        <w:tabs>
          <w:tab w:leader="none" w:pos="1745"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Beneficial Interests in Unrestricted Global Notes to Unrestricted Definitive Notes. </w:t>
      </w:r>
      <w:r>
        <w:rPr>
          <w:rFonts w:ascii="Times New Roman" w:cs="Times New Roman" w:eastAsia="Times New Roman" w:hAnsi="Times New Roman"/>
          <w:sz w:val="19"/>
          <w:szCs w:val="19"/>
          <w:color w:val="auto"/>
        </w:rPr>
        <w:t>Subject to Section 2.06(a),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the Trustee will cause the aggregate principal amount of the applicable Global Note to be reduced accordingly pursuant to Section 2.06(h), and the Issuer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57"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and Exchange of Definitive Notes for Beneficial Interests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jc w:val="both"/>
        <w:ind w:firstLine="1274"/>
        <w:spacing w:after="0" w:line="252" w:lineRule="auto"/>
        <w:tabs>
          <w:tab w:leader="none" w:pos="1825"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Beneficial Interests in Restricted Global Notes. </w:t>
      </w:r>
      <w:r>
        <w:rPr>
          <w:rFonts w:ascii="Times New Roman" w:cs="Times New Roman" w:eastAsia="Times New Roman" w:hAnsi="Times New Roman"/>
          <w:sz w:val="19"/>
          <w:szCs w:val="19"/>
          <w:color w:val="auto"/>
        </w:rPr>
        <w:t>If any Holder of a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Definitive Note proposes to exchange such Note for a beneficial interest in a Restricted Global Note or to transfer such Restricted Definitive Notes to a Person who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0600"/>
          </w:cols>
          <w:pgMar w:left="960" w:top="1440" w:right="339" w:bottom="1440" w:gutter="0" w:footer="0" w:header="0"/>
        </w:sectPr>
      </w:pPr>
    </w:p>
    <w:bookmarkStart w:id="55" w:name="page56"/>
    <w:bookmarkEnd w:id="55"/>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takes delivery thereof in the form of a beneficial interest in a Restricted Global Note, then, upon receipt by the Registrar of the following documentation:</w:t>
      </w:r>
    </w:p>
    <w:p>
      <w:pPr>
        <w:spacing w:after="0" w:line="118" w:lineRule="exact"/>
        <w:rPr>
          <w:sz w:val="20"/>
          <w:szCs w:val="20"/>
          <w:color w:val="auto"/>
        </w:rPr>
      </w:pPr>
    </w:p>
    <w:p>
      <w:pPr>
        <w:jc w:val="both"/>
        <w:ind w:left="640" w:firstLine="1270"/>
        <w:spacing w:after="0" w:line="244" w:lineRule="auto"/>
        <w:tabs>
          <w:tab w:leader="none" w:pos="240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w:t>
      </w:r>
    </w:p>
    <w:p>
      <w:pPr>
        <w:spacing w:after="0" w:line="1"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(2)(b) thereof;</w:t>
      </w:r>
    </w:p>
    <w:p>
      <w:pPr>
        <w:spacing w:after="0" w:line="170" w:lineRule="exact"/>
        <w:rPr>
          <w:rFonts w:ascii="Times New Roman" w:cs="Times New Roman" w:eastAsia="Times New Roman" w:hAnsi="Times New Roman"/>
          <w:sz w:val="19"/>
          <w:szCs w:val="19"/>
          <w:color w:val="auto"/>
        </w:rPr>
      </w:pPr>
    </w:p>
    <w:p>
      <w:pPr>
        <w:ind w:left="640" w:firstLine="1270"/>
        <w:spacing w:after="0" w:line="270" w:lineRule="auto"/>
        <w:tabs>
          <w:tab w:leader="none" w:pos="2516"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31" w:lineRule="exact"/>
        <w:rPr>
          <w:rFonts w:ascii="Times New Roman" w:cs="Times New Roman" w:eastAsia="Times New Roman" w:hAnsi="Times New Roman"/>
          <w:sz w:val="19"/>
          <w:szCs w:val="19"/>
          <w:color w:val="auto"/>
        </w:rPr>
      </w:pPr>
    </w:p>
    <w:p>
      <w:pPr>
        <w:jc w:val="both"/>
        <w:ind w:left="640" w:firstLine="1270"/>
        <w:spacing w:after="0" w:line="251" w:lineRule="auto"/>
        <w:tabs>
          <w:tab w:leader="none" w:pos="2378"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to a Non-U.S. Person in an offshore transaction (as defined in Rule 902(h) of Regulation S) in accordance with Rule 903 or Rule 904, a certificate to the effect set forth in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hereto, including the certifications in item (2) thereof;</w:t>
      </w:r>
    </w:p>
    <w:p>
      <w:pPr>
        <w:spacing w:after="0" w:line="136" w:lineRule="exact"/>
        <w:rPr>
          <w:rFonts w:ascii="Times New Roman" w:cs="Times New Roman" w:eastAsia="Times New Roman" w:hAnsi="Times New Roman"/>
          <w:sz w:val="19"/>
          <w:szCs w:val="19"/>
          <w:color w:val="auto"/>
        </w:rPr>
      </w:pPr>
    </w:p>
    <w:p>
      <w:pPr>
        <w:jc w:val="both"/>
        <w:ind w:left="640" w:firstLine="1270"/>
        <w:spacing w:after="0" w:line="251" w:lineRule="auto"/>
        <w:tabs>
          <w:tab w:leader="none" w:pos="259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(3)(a) thereof;</w:t>
      </w:r>
    </w:p>
    <w:p>
      <w:pPr>
        <w:spacing w:after="0" w:line="149" w:lineRule="exact"/>
        <w:rPr>
          <w:rFonts w:ascii="Times New Roman" w:cs="Times New Roman" w:eastAsia="Times New Roman" w:hAnsi="Times New Roman"/>
          <w:sz w:val="19"/>
          <w:szCs w:val="19"/>
          <w:color w:val="auto"/>
        </w:rPr>
      </w:pPr>
    </w:p>
    <w:p>
      <w:pPr>
        <w:jc w:val="both"/>
        <w:ind w:left="640" w:firstLine="1270"/>
        <w:spacing w:after="0" w:line="244" w:lineRule="auto"/>
        <w:tabs>
          <w:tab w:leader="none" w:pos="2401"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Restricted Definitive Note is being transferred to an Institutional Accredited Investor in reliance on an exemption from the registration requirements of the Securities Act other than those listed in subparagraphs (B) through</w:t>
      </w:r>
    </w:p>
    <w:p>
      <w:pPr>
        <w:spacing w:after="0" w:line="1" w:lineRule="exact"/>
        <w:rPr>
          <w:rFonts w:ascii="Times New Roman" w:cs="Times New Roman" w:eastAsia="Times New Roman" w:hAnsi="Times New Roman"/>
          <w:sz w:val="19"/>
          <w:szCs w:val="19"/>
          <w:color w:val="auto"/>
        </w:rPr>
      </w:pPr>
    </w:p>
    <w:p>
      <w:pPr>
        <w:ind w:left="640" w:hanging="2"/>
        <w:spacing w:after="0" w:line="246" w:lineRule="auto"/>
        <w:tabs>
          <w:tab w:leader="none" w:pos="99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above,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certificates and Opinion of Counsel required by item (3)(d) thereof, if applicable;</w:t>
      </w:r>
    </w:p>
    <w:p>
      <w:pPr>
        <w:spacing w:after="0" w:line="152" w:lineRule="exact"/>
        <w:rPr>
          <w:rFonts w:ascii="Times New Roman" w:cs="Times New Roman" w:eastAsia="Times New Roman" w:hAnsi="Times New Roman"/>
          <w:sz w:val="19"/>
          <w:szCs w:val="19"/>
          <w:color w:val="auto"/>
        </w:rPr>
      </w:pPr>
    </w:p>
    <w:p>
      <w:pPr>
        <w:ind w:left="640" w:firstLine="1270"/>
        <w:spacing w:after="0" w:line="270" w:lineRule="auto"/>
        <w:tabs>
          <w:tab w:leader="none" w:pos="2364"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to the Issuer or any of its Subsidiaries,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(3)(b) thereof; or</w:t>
      </w:r>
    </w:p>
    <w:p>
      <w:pPr>
        <w:spacing w:after="0" w:line="117" w:lineRule="exact"/>
        <w:rPr>
          <w:rFonts w:ascii="Times New Roman" w:cs="Times New Roman" w:eastAsia="Times New Roman" w:hAnsi="Times New Roman"/>
          <w:sz w:val="19"/>
          <w:szCs w:val="19"/>
          <w:color w:val="auto"/>
        </w:rPr>
      </w:pPr>
    </w:p>
    <w:p>
      <w:pPr>
        <w:jc w:val="both"/>
        <w:ind w:left="640" w:firstLine="1270"/>
        <w:spacing w:after="0" w:line="255" w:lineRule="auto"/>
        <w:tabs>
          <w:tab w:leader="none" w:pos="2482"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(3)(c) thereof,</w:t>
      </w:r>
    </w:p>
    <w:p>
      <w:pPr>
        <w:spacing w:after="0" w:line="370"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9"/>
          <w:szCs w:val="19"/>
          <w:color w:val="auto"/>
        </w:rPr>
        <w:t>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147" w:lineRule="exact"/>
        <w:rPr>
          <w:sz w:val="20"/>
          <w:szCs w:val="20"/>
          <w:color w:val="auto"/>
        </w:rPr>
      </w:pPr>
    </w:p>
    <w:p>
      <w:pPr>
        <w:jc w:val="both"/>
        <w:ind w:firstLine="1274"/>
        <w:spacing w:after="0" w:line="252" w:lineRule="auto"/>
        <w:tabs>
          <w:tab w:leader="none" w:pos="1851"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Beneficial Interests in Unrestricted Global Notes. </w:t>
      </w:r>
      <w:r>
        <w:rPr>
          <w:rFonts w:ascii="Times New Roman" w:cs="Times New Roman" w:eastAsia="Times New Roman" w:hAnsi="Times New Roman"/>
          <w:sz w:val="19"/>
          <w:szCs w:val="19"/>
          <w:color w:val="auto"/>
        </w:rPr>
        <w:t>A Holder of a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35" w:lineRule="exact"/>
        <w:rPr>
          <w:rFonts w:ascii="Times New Roman" w:cs="Times New Roman" w:eastAsia="Times New Roman" w:hAnsi="Times New Roman"/>
          <w:sz w:val="19"/>
          <w:szCs w:val="19"/>
          <w:color w:val="auto"/>
        </w:rPr>
      </w:pPr>
    </w:p>
    <w:p>
      <w:pPr>
        <w:ind w:left="2380" w:hanging="470"/>
        <w:spacing w:after="0"/>
        <w:tabs>
          <w:tab w:leader="none" w:pos="238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2360" w:hanging="450"/>
        <w:spacing w:after="0"/>
        <w:tabs>
          <w:tab w:leader="none" w:pos="236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2360" w:hanging="450"/>
        <w:spacing w:after="0"/>
        <w:tabs>
          <w:tab w:leader="none" w:pos="236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0600"/>
          </w:cols>
          <w:pgMar w:left="960" w:top="1440" w:right="339" w:bottom="1440" w:gutter="0" w:footer="0" w:header="0"/>
        </w:sectPr>
      </w:pPr>
    </w:p>
    <w:bookmarkStart w:id="56" w:name="page57"/>
    <w:bookmarkEnd w:id="56"/>
    <w:p>
      <w:pPr>
        <w:spacing w:after="0" w:line="148" w:lineRule="exact"/>
        <w:rPr>
          <w:sz w:val="20"/>
          <w:szCs w:val="20"/>
          <w:color w:val="auto"/>
        </w:rPr>
      </w:pPr>
    </w:p>
    <w:p>
      <w:pPr>
        <w:ind w:left="3020" w:hanging="470"/>
        <w:spacing w:after="0"/>
        <w:tabs>
          <w:tab w:leader="none" w:pos="30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receives the following:</w:t>
      </w:r>
    </w:p>
    <w:p>
      <w:pPr>
        <w:spacing w:after="0" w:line="179" w:lineRule="exact"/>
        <w:rPr>
          <w:rFonts w:ascii="Times New Roman" w:cs="Times New Roman" w:eastAsia="Times New Roman" w:hAnsi="Times New Roman"/>
          <w:sz w:val="19"/>
          <w:szCs w:val="19"/>
          <w:color w:val="auto"/>
        </w:rPr>
      </w:pPr>
    </w:p>
    <w:p>
      <w:pPr>
        <w:jc w:val="both"/>
        <w:ind w:left="1920" w:right="20" w:firstLine="1266"/>
        <w:spacing w:after="0" w:line="251" w:lineRule="auto"/>
        <w:tabs>
          <w:tab w:leader="none" w:pos="3569"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(1)(c) thereof; or</w:t>
      </w:r>
    </w:p>
    <w:p>
      <w:pPr>
        <w:spacing w:after="0" w:line="149" w:lineRule="exact"/>
        <w:rPr>
          <w:rFonts w:ascii="Times New Roman" w:cs="Times New Roman" w:eastAsia="Times New Roman" w:hAnsi="Times New Roman"/>
          <w:sz w:val="19"/>
          <w:szCs w:val="19"/>
          <w:color w:val="auto"/>
        </w:rPr>
      </w:pPr>
    </w:p>
    <w:p>
      <w:pPr>
        <w:jc w:val="both"/>
        <w:ind w:left="1920" w:firstLine="1266"/>
        <w:spacing w:after="0" w:line="251" w:lineRule="auto"/>
        <w:tabs>
          <w:tab w:leader="none" w:pos="364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49" w:lineRule="exact"/>
        <w:rPr>
          <w:sz w:val="20"/>
          <w:szCs w:val="20"/>
          <w:color w:val="auto"/>
        </w:rPr>
      </w:pPr>
    </w:p>
    <w:p>
      <w:pPr>
        <w:jc w:val="both"/>
        <w:ind w:left="1280"/>
        <w:spacing w:after="0" w:line="245" w:lineRule="auto"/>
        <w:rPr>
          <w:sz w:val="20"/>
          <w:szCs w:val="20"/>
          <w:color w:val="auto"/>
        </w:rPr>
      </w:pPr>
      <w:r>
        <w:rPr>
          <w:rFonts w:ascii="Times New Roman" w:cs="Times New Roman" w:eastAsia="Times New Roman" w:hAnsi="Times New Roman"/>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1" w:lineRule="exact"/>
        <w:rPr>
          <w:sz w:val="20"/>
          <w:szCs w:val="20"/>
          <w:color w:val="auto"/>
        </w:rPr>
      </w:pPr>
    </w:p>
    <w:p>
      <w:pPr>
        <w:ind w:left="640" w:firstLine="636"/>
        <w:spacing w:after="0" w:line="270" w:lineRule="auto"/>
        <w:rPr>
          <w:sz w:val="20"/>
          <w:szCs w:val="20"/>
          <w:color w:val="auto"/>
        </w:rPr>
      </w:pPr>
      <w:r>
        <w:rPr>
          <w:rFonts w:ascii="Times New Roman" w:cs="Times New Roman" w:eastAsia="Times New Roman" w:hAnsi="Times New Roman"/>
          <w:sz w:val="19"/>
          <w:szCs w:val="19"/>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29" w:lineRule="exact"/>
        <w:rPr>
          <w:sz w:val="20"/>
          <w:szCs w:val="20"/>
          <w:color w:val="auto"/>
        </w:rPr>
      </w:pPr>
    </w:p>
    <w:p>
      <w:pPr>
        <w:jc w:val="both"/>
        <w:ind w:left="640" w:firstLine="1274"/>
        <w:spacing w:after="0" w:line="242" w:lineRule="auto"/>
        <w:tabs>
          <w:tab w:leader="none" w:pos="2399"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Unrestricted Definitive Notes to Beneficial Interests in Unrestricted Global Notes. </w:t>
      </w:r>
      <w:r>
        <w:rPr>
          <w:rFonts w:ascii="Times New Roman" w:cs="Times New Roman" w:eastAsia="Times New Roman" w:hAnsi="Times New Roman"/>
          <w:sz w:val="19"/>
          <w:szCs w:val="19"/>
          <w:color w:val="auto"/>
        </w:rPr>
        <w:t>A Holder of an Unrestricted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59"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532"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such exchange or transfer from a Definitive Note to a beneficial interest is effected pursuant to subparagraph (2)(D) or (3) above at a time when an Unrestricted Global Note has not yet been issued, the Issuer will issue and, upon receipt of an Authentication Order in accordance with Section 2.02, the Trustee will authenticate one or more Unrestricted Global Notes in an aggregate principal amount equal to the principal amount of Definitive Notes so transferred or exchanged.</w:t>
      </w:r>
    </w:p>
    <w:p>
      <w:pPr>
        <w:spacing w:after="0" w:line="139" w:lineRule="exact"/>
        <w:rPr>
          <w:rFonts w:ascii="Times New Roman" w:cs="Times New Roman" w:eastAsia="Times New Roman" w:hAnsi="Times New Roman"/>
          <w:sz w:val="19"/>
          <w:szCs w:val="19"/>
          <w:color w:val="auto"/>
        </w:rPr>
      </w:pPr>
    </w:p>
    <w:p>
      <w:pPr>
        <w:jc w:val="both"/>
        <w:ind w:firstLine="1278"/>
        <w:spacing w:after="0"/>
        <w:tabs>
          <w:tab w:leader="none" w:pos="1721"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Transfer and Exchange of Definitive Notes for Definitive Notes. </w:t>
      </w:r>
      <w:r>
        <w:rPr>
          <w:rFonts w:ascii="Times New Roman" w:cs="Times New Roman" w:eastAsia="Times New Roman" w:hAnsi="Times New Roman"/>
          <w:sz w:val="19"/>
          <w:szCs w:val="19"/>
          <w:color w:val="auto"/>
        </w:rPr>
        <w:t>Upon request by a Holder of Definitive Notes and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59" w:lineRule="exact"/>
        <w:rPr>
          <w:rFonts w:ascii="Times New Roman" w:cs="Times New Roman" w:eastAsia="Times New Roman" w:hAnsi="Times New Roman"/>
          <w:sz w:val="19"/>
          <w:szCs w:val="19"/>
          <w:color w:val="auto"/>
        </w:rPr>
      </w:pPr>
    </w:p>
    <w:p>
      <w:pPr>
        <w:ind w:left="640" w:firstLine="1274"/>
        <w:spacing w:after="0" w:line="273" w:lineRule="auto"/>
        <w:tabs>
          <w:tab w:leader="none" w:pos="2385"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Restricted Definitive Notes. </w:t>
      </w:r>
      <w:r>
        <w:rPr>
          <w:rFonts w:ascii="Times New Roman" w:cs="Times New Roman" w:eastAsia="Times New Roman" w:hAnsi="Times New Roman"/>
          <w:sz w:val="19"/>
          <w:szCs w:val="19"/>
          <w:color w:val="auto"/>
        </w:rPr>
        <w:t>Any Restricted Definitive Note may be transferred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registered in the name of Persons who take delivery thereof in the form of a Restricted Definitive Note if: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8" w:lineRule="exact"/>
        <w:rPr>
          <w:sz w:val="20"/>
          <w:szCs w:val="20"/>
          <w:color w:val="auto"/>
        </w:rPr>
      </w:pPr>
    </w:p>
    <w:p>
      <w:pPr>
        <w:ind w:left="1900" w:hanging="470"/>
        <w:spacing w:after="0"/>
        <w:tabs>
          <w:tab w:leader="none" w:pos="1900"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receives the following:</w:t>
      </w:r>
    </w:p>
    <w:p>
      <w:pPr>
        <w:spacing w:after="0" w:line="179" w:lineRule="exact"/>
        <w:rPr>
          <w:rFonts w:ascii="Times New Roman" w:cs="Times New Roman" w:eastAsia="Times New Roman" w:hAnsi="Times New Roman"/>
          <w:sz w:val="19"/>
          <w:szCs w:val="19"/>
          <w:color w:val="auto"/>
        </w:rPr>
      </w:pPr>
    </w:p>
    <w:p>
      <w:pPr>
        <w:ind w:left="160" w:firstLine="1270"/>
        <w:spacing w:after="0" w:line="270" w:lineRule="auto"/>
        <w:tabs>
          <w:tab w:leader="none" w:pos="194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will be made pursuant to Rule 144A,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(1) thereof;</w:t>
      </w:r>
    </w:p>
    <w:p>
      <w:pPr>
        <w:spacing w:after="0" w:line="131" w:lineRule="exact"/>
        <w:rPr>
          <w:rFonts w:ascii="Times New Roman" w:cs="Times New Roman" w:eastAsia="Times New Roman" w:hAnsi="Times New Roman"/>
          <w:sz w:val="19"/>
          <w:szCs w:val="19"/>
          <w:color w:val="auto"/>
        </w:rPr>
      </w:pPr>
    </w:p>
    <w:p>
      <w:pPr>
        <w:ind w:left="160" w:firstLine="1270"/>
        <w:spacing w:after="0" w:line="270" w:lineRule="auto"/>
        <w:tabs>
          <w:tab w:leader="none" w:pos="1885"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(2) thereof; and</w:t>
      </w:r>
    </w:p>
    <w:p>
      <w:pPr>
        <w:spacing w:after="0" w:line="131" w:lineRule="exact"/>
        <w:rPr>
          <w:rFonts w:ascii="Times New Roman" w:cs="Times New Roman" w:eastAsia="Times New Roman" w:hAnsi="Times New Roman"/>
          <w:sz w:val="19"/>
          <w:szCs w:val="19"/>
          <w:color w:val="auto"/>
        </w:rPr>
      </w:pPr>
    </w:p>
    <w:p>
      <w:pPr>
        <w:jc w:val="both"/>
        <w:ind w:left="160" w:firstLine="1270"/>
        <w:spacing w:after="0" w:line="251" w:lineRule="auto"/>
        <w:tabs>
          <w:tab w:leader="none" w:pos="1967"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certificates and Opinion of Counsel required by item (3)(d) thereof, if applicable.</w:t>
      </w:r>
    </w:p>
    <w:p>
      <w:pPr>
        <w:spacing w:after="0" w:line="134" w:lineRule="exact"/>
        <w:rPr>
          <w:rFonts w:ascii="Times New Roman" w:cs="Times New Roman" w:eastAsia="Times New Roman" w:hAnsi="Times New Roman"/>
          <w:sz w:val="19"/>
          <w:szCs w:val="19"/>
          <w:color w:val="auto"/>
        </w:rPr>
      </w:pPr>
    </w:p>
    <w:p>
      <w:pPr>
        <w:jc w:val="both"/>
        <w:ind w:left="-480" w:firstLine="1274"/>
        <w:spacing w:after="0" w:line="252" w:lineRule="auto"/>
        <w:tabs>
          <w:tab w:leader="none" w:pos="1212"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Unrestricted Definitive Notes. </w:t>
      </w:r>
      <w:r>
        <w:rPr>
          <w:rFonts w:ascii="Times New Roman" w:cs="Times New Roman" w:eastAsia="Times New Roman" w:hAnsi="Times New Roman"/>
          <w:sz w:val="19"/>
          <w:szCs w:val="19"/>
          <w:color w:val="auto"/>
        </w:rPr>
        <w:t>Any Restricted Definitive Note may be exchanged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Holder thereof for an Unrestricted Definitive Note or transferred to a Person or Persons who take delivery thereof in the form of an Unrestricted Definitive Note if:</w:t>
      </w:r>
    </w:p>
    <w:p>
      <w:pPr>
        <w:spacing w:after="0" w:line="148" w:lineRule="exact"/>
        <w:rPr>
          <w:rFonts w:ascii="Times New Roman" w:cs="Times New Roman" w:eastAsia="Times New Roman" w:hAnsi="Times New Roman"/>
          <w:sz w:val="19"/>
          <w:szCs w:val="19"/>
          <w:color w:val="auto"/>
        </w:rPr>
      </w:pPr>
    </w:p>
    <w:p>
      <w:pPr>
        <w:ind w:left="1900" w:hanging="470"/>
        <w:spacing w:after="0"/>
        <w:tabs>
          <w:tab w:leader="none" w:pos="190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2" w:lineRule="exact"/>
        <w:rPr>
          <w:rFonts w:ascii="Times New Roman" w:cs="Times New Roman" w:eastAsia="Times New Roman" w:hAnsi="Times New Roman"/>
          <w:sz w:val="19"/>
          <w:szCs w:val="19"/>
          <w:color w:val="auto"/>
        </w:rPr>
      </w:pPr>
    </w:p>
    <w:p>
      <w:pPr>
        <w:ind w:left="1880" w:hanging="450"/>
        <w:spacing w:after="0"/>
        <w:tabs>
          <w:tab w:leader="none" w:pos="188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79" w:lineRule="exact"/>
        <w:rPr>
          <w:rFonts w:ascii="Times New Roman" w:cs="Times New Roman" w:eastAsia="Times New Roman" w:hAnsi="Times New Roman"/>
          <w:sz w:val="19"/>
          <w:szCs w:val="19"/>
          <w:color w:val="auto"/>
        </w:rPr>
      </w:pPr>
    </w:p>
    <w:p>
      <w:pPr>
        <w:ind w:left="1880" w:hanging="450"/>
        <w:spacing w:after="0"/>
        <w:tabs>
          <w:tab w:leader="none" w:pos="188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or</w:t>
      </w:r>
    </w:p>
    <w:p>
      <w:pPr>
        <w:spacing w:after="0" w:line="192" w:lineRule="exact"/>
        <w:rPr>
          <w:rFonts w:ascii="Times New Roman" w:cs="Times New Roman" w:eastAsia="Times New Roman" w:hAnsi="Times New Roman"/>
          <w:sz w:val="19"/>
          <w:szCs w:val="19"/>
          <w:color w:val="auto"/>
        </w:rPr>
      </w:pPr>
    </w:p>
    <w:p>
      <w:pPr>
        <w:ind w:left="1900" w:hanging="470"/>
        <w:spacing w:after="0"/>
        <w:tabs>
          <w:tab w:leader="none" w:pos="190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receives the following:</w:t>
      </w:r>
    </w:p>
    <w:p>
      <w:pPr>
        <w:spacing w:after="0" w:line="192" w:lineRule="exact"/>
        <w:rPr>
          <w:rFonts w:ascii="Times New Roman" w:cs="Times New Roman" w:eastAsia="Times New Roman" w:hAnsi="Times New Roman"/>
          <w:sz w:val="19"/>
          <w:szCs w:val="19"/>
          <w:color w:val="auto"/>
        </w:rPr>
      </w:pPr>
    </w:p>
    <w:p>
      <w:pPr>
        <w:ind w:left="800" w:right="40" w:firstLine="1266"/>
        <w:spacing w:after="0" w:line="251" w:lineRule="auto"/>
        <w:tabs>
          <w:tab w:leader="none" w:pos="2449"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including the certifications in item (1)(d) thereof; or</w:t>
      </w:r>
    </w:p>
    <w:p>
      <w:pPr>
        <w:spacing w:after="0" w:line="136" w:lineRule="exact"/>
        <w:rPr>
          <w:rFonts w:ascii="Times New Roman" w:cs="Times New Roman" w:eastAsia="Times New Roman" w:hAnsi="Times New Roman"/>
          <w:sz w:val="19"/>
          <w:szCs w:val="19"/>
          <w:color w:val="auto"/>
        </w:rPr>
      </w:pPr>
    </w:p>
    <w:p>
      <w:pPr>
        <w:jc w:val="both"/>
        <w:ind w:left="800" w:firstLine="1266"/>
        <w:spacing w:after="0" w:line="251" w:lineRule="auto"/>
        <w:tabs>
          <w:tab w:leader="none" w:pos="2514"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including the certifications in item (4) thereof;</w:t>
      </w:r>
    </w:p>
    <w:p>
      <w:pPr>
        <w:spacing w:after="0" w:line="149" w:lineRule="exact"/>
        <w:rPr>
          <w:sz w:val="20"/>
          <w:szCs w:val="20"/>
          <w:color w:val="auto"/>
        </w:rPr>
      </w:pPr>
    </w:p>
    <w:p>
      <w:pPr>
        <w:jc w:val="both"/>
        <w:ind w:left="160"/>
        <w:spacing w:after="0" w:line="245" w:lineRule="auto"/>
        <w:rPr>
          <w:sz w:val="20"/>
          <w:szCs w:val="20"/>
          <w:color w:val="auto"/>
        </w:rPr>
      </w:pPr>
      <w:r>
        <w:rPr>
          <w:rFonts w:ascii="Times New Roman" w:cs="Times New Roman" w:eastAsia="Times New Roman" w:hAnsi="Times New Roman"/>
          <w:sz w:val="19"/>
          <w:szCs w:val="19"/>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3" w:lineRule="exact"/>
        <w:rPr>
          <w:sz w:val="20"/>
          <w:szCs w:val="20"/>
          <w:color w:val="auto"/>
        </w:rPr>
      </w:pPr>
    </w:p>
    <w:p>
      <w:pPr>
        <w:jc w:val="both"/>
        <w:ind w:left="-480" w:firstLine="1274"/>
        <w:spacing w:after="0" w:line="247" w:lineRule="auto"/>
        <w:tabs>
          <w:tab w:leader="none" w:pos="1279"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Unrestricted Definitive Notes to Unrestricted Definitive Notes. </w:t>
      </w:r>
      <w:r>
        <w:rPr>
          <w:rFonts w:ascii="Times New Roman" w:cs="Times New Roman" w:eastAsia="Times New Roman" w:hAnsi="Times New Roman"/>
          <w:sz w:val="19"/>
          <w:szCs w:val="19"/>
          <w:color w:val="auto"/>
        </w:rPr>
        <w:t>A Holder of Unrestricted Definitive Notes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358" w:lineRule="exact"/>
        <w:rPr>
          <w:rFonts w:ascii="Times New Roman" w:cs="Times New Roman" w:eastAsia="Times New Roman" w:hAnsi="Times New Roman"/>
          <w:sz w:val="19"/>
          <w:szCs w:val="19"/>
          <w:color w:val="auto"/>
        </w:rPr>
      </w:pPr>
    </w:p>
    <w:p>
      <w:pPr>
        <w:ind w:left="540" w:hanging="382"/>
        <w:spacing w:after="0"/>
        <w:tabs>
          <w:tab w:leader="none" w:pos="54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0120"/>
          </w:cols>
          <w:pgMar w:left="1440" w:top="1440" w:right="339" w:bottom="1440" w:gutter="0" w:footer="0" w:header="0"/>
        </w:sectPr>
      </w:pPr>
    </w:p>
    <w:bookmarkStart w:id="58" w:name="page59"/>
    <w:bookmarkEnd w:id="58"/>
    <w:p>
      <w:pPr>
        <w:spacing w:after="0" w:line="146" w:lineRule="exact"/>
        <w:rPr>
          <w:sz w:val="20"/>
          <w:szCs w:val="20"/>
          <w:color w:val="auto"/>
        </w:rPr>
      </w:pPr>
    </w:p>
    <w:p>
      <w:pPr>
        <w:ind w:right="20" w:firstLine="1278"/>
        <w:spacing w:after="0" w:line="273" w:lineRule="auto"/>
        <w:tabs>
          <w:tab w:leader="none" w:pos="1732" w:val="left"/>
        </w:tabs>
        <w:numPr>
          <w:ilvl w:val="0"/>
          <w:numId w:val="7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Legends. </w:t>
      </w:r>
      <w:r>
        <w:rPr>
          <w:rFonts w:ascii="Times New Roman" w:cs="Times New Roman" w:eastAsia="Times New Roman" w:hAnsi="Times New Roman"/>
          <w:sz w:val="19"/>
          <w:szCs w:val="19"/>
          <w:color w:val="auto"/>
        </w:rPr>
        <w:t>The following legends will appear on all Global Notes and Definitive Notes issued under this Indenture unless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specifically stated otherwise in the applicable provisions of this Indenture.</w:t>
      </w:r>
    </w:p>
    <w:p>
      <w:pPr>
        <w:spacing w:after="0" w:line="112" w:lineRule="exact"/>
        <w:rPr>
          <w:rFonts w:ascii="Times New Roman" w:cs="Times New Roman" w:eastAsia="Times New Roman" w:hAnsi="Times New Roman"/>
          <w:sz w:val="19"/>
          <w:szCs w:val="19"/>
          <w:i w:val="1"/>
          <w:iCs w:val="1"/>
          <w:color w:val="auto"/>
        </w:rPr>
      </w:pPr>
    </w:p>
    <w:p>
      <w:pPr>
        <w:ind w:left="2340" w:hanging="426"/>
        <w:spacing w:after="0"/>
        <w:tabs>
          <w:tab w:leader="none" w:pos="234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Private Placement Legend</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ind w:left="1280" w:firstLine="1270"/>
        <w:spacing w:after="0" w:line="270" w:lineRule="auto"/>
        <w:tabs>
          <w:tab w:leader="none" w:pos="3108" w:val="left"/>
        </w:tabs>
        <w:numPr>
          <w:ilvl w:val="2"/>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b w:val="1"/>
          <w:bCs w:val="1"/>
          <w:color w:val="auto"/>
        </w:rPr>
        <w:t>“THIS SECURITY HAS NOT BEEN REGISTERED UNDER THE SECURITIES ACT OF 1933, AS AMENDED,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AND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OF THE UNITED STATES WITHIN THE MEANING OF REGULATION S UNDER THE SECURITIES ACT, OR (E) PURSUANT TO ANOTHER AVAILABLE EXEMPTION FROM THE REGISTRATION REQUIREMENTS OF THE SECURITIES ACT OTHER THAN RULE 144, SUBJECT TO THE ISSUER’S AND THE TRUSTEE’S RIGHT PRIOR TO ANY SUCH OFFER, SALE OR TRANSFER PURSUANT TO CLAUSE (E) ABOVE TO REQUIRE THE DELIVERY OF AN OPINION OF COUNSEL, CERTIFICATION AND/ OR OTHER INFORMATION SATISFACTORY TO EACH OF THEM. NOTWITHSTANDING ANYTHING TO THE CONTRARY, TRANSFERS PURSUANT TO RULE 144 WILL NOT BE PERMITTED, EVEN IF LEGALLY AVAILABLE. THIS LEGEND WILL BE REMOVED UPON THE REQUEST OF THE HOLDER AFTER THE RESALE RESTRICTION TERMINATION DATE.</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BY ITS ACQUISITION OF THIS SECURITY (OR ANY INTEREST HEREIN), THE HOLDER THEREOF WILL BE DEEMED TO HAVE REPRESENTED AND WARRANTED THAT EITHER (1) NO PORTION OF THE ASSETS USED BY SUCH HOLDER TO ACQUIRE OR HOLD THIS SECURITY (OR ANY INTEREST HEREIN) CONSTITUTES THE ASSETS OF (A)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b w:val="1"/>
          <w:bCs w:val="1"/>
          <w:color w:val="auto"/>
        </w:rPr>
        <w:t>ANY EMPLOYEE BENEFIT PLAN THAT IS SUBJECT TO TITLE I OF THE U.S. EMPLOYEE RETIREMENT INCOME SECURITY ACT OF 1974,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AMENDED (“ERISA”), (B) A PLAN, INDIVIDUAL RETIREMENT ACCOUNT OR OTHER ARRANGEMENT THAT IS SUBJECT TO THE PROHIBITED TRANSACTION PROVISIONS OF SECTION 406 OF ERISA OR SECTION 4975 OF THE U.S. INTERNAL REVENUE CODE OF 1986, AS AMENDED (THE “CODE”) OR PROVISIONS UNDER ANY OTHER U.S. OR NON-U.S. FEDERAL, STATE, LOCAL OR OTHER LAWS OR REGULATIONS THAT ARE SIMILAR TO SUCH PROVISIONS OF ERISA AND/OR THE CODE (COLLECTIVELY, “SIMILAR LAWS”) OR (C) OF AN ENTITY WHOSE UNDERLYING ASSETS ARE CONSIDERED TO INCLUDE “PLAN ASSETS” OF ANY SUCH PLAN, ACCOUNT OR ARRANGEMENT DESCRIBED IN CLAUSE (A) OR (B) OR (2) (A) THE ACQUISITION AND HOLDING OF THIS SECURITY (OR ANY INTEREST HEREIN) WILL NOT CONSTITUTE A NON-EXEMPT PROHIBITED TRANSACTION UNDER SECTION 406 OF ERISA OR SECTION 4975 OF THE CODE OR A SIMILAR VIOLATION UNDER ANY APPLICABLE SIMILAR LAWS.”</w:t>
      </w:r>
    </w:p>
    <w:p>
      <w:pPr>
        <w:spacing w:after="0" w:line="148" w:lineRule="exact"/>
        <w:rPr>
          <w:sz w:val="20"/>
          <w:szCs w:val="20"/>
          <w:color w:val="auto"/>
        </w:rPr>
      </w:pPr>
    </w:p>
    <w:p>
      <w:pPr>
        <w:ind w:left="3020" w:hanging="470"/>
        <w:spacing w:after="0"/>
        <w:tabs>
          <w:tab w:leader="none" w:pos="302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any Global Note or Definitive Note issued pursuant to subparagraphs (b)</w:t>
      </w:r>
    </w:p>
    <w:p>
      <w:pPr>
        <w:spacing w:after="0" w:line="15" w:lineRule="exact"/>
        <w:rPr>
          <w:rFonts w:ascii="Times New Roman" w:cs="Times New Roman" w:eastAsia="Times New Roman" w:hAnsi="Times New Roman"/>
          <w:sz w:val="19"/>
          <w:szCs w:val="19"/>
          <w:color w:val="auto"/>
        </w:rPr>
      </w:pPr>
    </w:p>
    <w:p>
      <w:pPr>
        <w:ind w:left="128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 (c)(2), (c)(3), (d)(2), (d)(3), (e)(2) or (e)(3) of this Section 2.06 (and all Notes issued in exchange therefor or substitution thereof) will not bear the Private Placement Legend.</w:t>
      </w:r>
    </w:p>
    <w:p>
      <w:pPr>
        <w:spacing w:after="0" w:line="153" w:lineRule="exact"/>
        <w:rPr>
          <w:sz w:val="20"/>
          <w:szCs w:val="20"/>
          <w:color w:val="auto"/>
        </w:rPr>
      </w:pPr>
    </w:p>
    <w:p>
      <w:pPr>
        <w:jc w:val="both"/>
        <w:ind w:left="1280" w:firstLine="636"/>
        <w:spacing w:after="0" w:line="234" w:lineRule="auto"/>
        <w:rPr>
          <w:sz w:val="20"/>
          <w:szCs w:val="20"/>
          <w:color w:val="auto"/>
        </w:rPr>
      </w:pPr>
      <w:r>
        <w:rPr>
          <w:rFonts w:ascii="Times New Roman" w:cs="Times New Roman" w:eastAsia="Times New Roman" w:hAnsi="Times New Roman"/>
          <w:sz w:val="19"/>
          <w:szCs w:val="19"/>
          <w:color w:val="auto"/>
        </w:rPr>
        <w:t>In addition, the foregoing legend may be adjusted for future issuances in accordance with applicable law. The Issuer, in its discretion, may remove the Private Placement Legend from any Restricted Global Note at any time on or after the Resale Restriction Termination Date applicable to such Note. Without limiting the generality of the preceding sentence, the Issuer may, subject to Applicable Procedures, effect such removal by issuing and delivering, in exchange for such Note, an Unrestricted Global Note without such legend, registered to the same Holder and in an equal principal amount, and upon receipt by the Trustee of an Authentication Order and an Officers’ Certificate of the Issuer stating that the Resale Restriction Termination Date applicable to such Note has occurred and requesting the authentication and delivery of an Unrestricted Global Note in exchange therefor (which order shall not be required to be accompanied by any Opinion of Counsel or any other document) given at least three Business Days in advance of the proposed date of exchange specified therein (which shall be no earlier than such Resale Restriction Termination Date), the Trustee shall authenticate and deliver such Unrestricted Global Note to the Depositary or pursuant to such Depositary’s instructions or hold such Unrestricted Global Note as Custodian for the Depositary and shall request the Depositary to, or, if the Trustee is Custodian of such Restricted Global Note, shall itself, surrender such Restricted Global Note in exchange for such Unrestricted Global Note without such legend and thereupon cancel such Restricted Global Note so surrendered, all as directed in such order. For purposes of determining whether the Resale Restriction Termination Date has occurred with respect to any Restricted Global Note or delivering any order pursuant to this Section 2.06(g)(1) with respect to such Restricted Global Notes, (i) only those Restricted Global Notes that a Principal Officer of the Issuer actually knows (after reasonable inquiry) to be or to have been owned by an Affiliate of the Issuer shall be deemed to be or to have been, respectively, owned by an Affiliate of the Issuer; and (ii) “Principal Officer” means an Officer of the Issuer that is the principal executive officer, the principal financial officer, the treasurer or the principal accounting officer. For purposes of this Section 2.06(g)(1), all provisions relating to the removal of the Private Placement Legend shall relate, if the Resale Restriction Termination Date has occurred only with respect to a portion of the Notes evidenced by a Restricted Global Note, to such portion of the Notes so evidenced as to which the Resale Restriction Termination Date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Each Holder of any Note evidenced by any Restricted Global Note, by its acceptance thereof, (A) authorizes and consents to,</w:t>
      </w:r>
    </w:p>
    <w:p>
      <w:pPr>
        <w:spacing w:after="0" w:line="16" w:lineRule="exact"/>
        <w:rPr>
          <w:sz w:val="20"/>
          <w:szCs w:val="20"/>
          <w:color w:val="auto"/>
        </w:rPr>
      </w:pPr>
    </w:p>
    <w:p>
      <w:pPr>
        <w:jc w:val="both"/>
        <w:ind w:left="1280" w:hanging="2"/>
        <w:spacing w:after="0" w:line="232" w:lineRule="auto"/>
        <w:tabs>
          <w:tab w:leader="none" w:pos="1599"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appoints the Issuer as its agent for the sole purpose of delivering such electronic messages, executing and delivering such instruments and taking such other actions, on such Holder’s behalf, as the Depositary or the Trustee may require to effect, and</w:t>
      </w:r>
    </w:p>
    <w:p>
      <w:pPr>
        <w:spacing w:after="0" w:line="1" w:lineRule="exact"/>
        <w:rPr>
          <w:rFonts w:ascii="Times New Roman" w:cs="Times New Roman" w:eastAsia="Times New Roman" w:hAnsi="Times New Roman"/>
          <w:sz w:val="19"/>
          <w:szCs w:val="19"/>
          <w:color w:val="auto"/>
        </w:rPr>
      </w:pPr>
    </w:p>
    <w:p>
      <w:pPr>
        <w:jc w:val="both"/>
        <w:ind w:left="1280" w:hanging="2"/>
        <w:spacing w:after="0"/>
        <w:tabs>
          <w:tab w:leader="none" w:pos="160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request of the Issuer, agrees to deliver such electronic messages, execute and deliver such instruments and take such other actions as the Depositary or the Trustee may require, or as shall otherwise be necessary to effect, the removal of the Private Placement Legend (including by means of the exchange of all or the portion of such Restricted Global Note evidencing such Note for a certificate evidencing such Note that does not bear such legend) at any time after the Resale Restriction Termination Date.</w:t>
      </w:r>
    </w:p>
    <w:p>
      <w:pPr>
        <w:spacing w:after="0" w:line="347"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Global Note Legend</w:t>
      </w:r>
      <w:r>
        <w:rPr>
          <w:rFonts w:ascii="Times New Roman" w:cs="Times New Roman" w:eastAsia="Times New Roman" w:hAnsi="Times New Roman"/>
          <w:sz w:val="19"/>
          <w:szCs w:val="19"/>
          <w:color w:val="auto"/>
        </w:rPr>
        <w:t>. Each Global Note will bear a legend in substantially the following form:</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b w:val="1"/>
          <w:bCs w:val="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328" w:lineRule="exact"/>
        <w:rPr>
          <w:sz w:val="20"/>
          <w:szCs w:val="20"/>
          <w:color w:val="auto"/>
        </w:rPr>
      </w:pPr>
    </w:p>
    <w:p>
      <w:pPr>
        <w:ind w:left="1920"/>
        <w:spacing w:after="0"/>
        <w:tabs>
          <w:tab w:leader="none" w:pos="232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i w:val="1"/>
          <w:iCs w:val="1"/>
          <w:color w:val="auto"/>
        </w:rPr>
        <w:t>Regulation S Legend</w:t>
      </w:r>
      <w:r>
        <w:rPr>
          <w:rFonts w:ascii="Times New Roman" w:cs="Times New Roman" w:eastAsia="Times New Roman" w:hAnsi="Times New Roman"/>
          <w:sz w:val="19"/>
          <w:szCs w:val="19"/>
          <w:color w:val="auto"/>
        </w:rPr>
        <w:t>. Each Regulation S Global Note will bear a legend in substantially the following form:</w:t>
      </w:r>
    </w:p>
    <w:p>
      <w:pPr>
        <w:spacing w:after="0" w:line="190" w:lineRule="exact"/>
        <w:rPr>
          <w:sz w:val="20"/>
          <w:szCs w:val="20"/>
          <w:color w:val="auto"/>
        </w:rPr>
      </w:pPr>
    </w:p>
    <w:p>
      <w:pPr>
        <w:ind w:right="760"/>
        <w:spacing w:after="0" w:line="254" w:lineRule="auto"/>
        <w:rPr>
          <w:sz w:val="20"/>
          <w:szCs w:val="20"/>
          <w:color w:val="auto"/>
        </w:rPr>
      </w:pPr>
      <w:r>
        <w:rPr>
          <w:rFonts w:ascii="Times New Roman" w:cs="Times New Roman" w:eastAsia="Times New Roman" w:hAnsi="Times New Roman"/>
          <w:sz w:val="19"/>
          <w:szCs w:val="19"/>
          <w:b w:val="1"/>
          <w:bCs w:val="1"/>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6" w:lineRule="exact"/>
        <w:rPr>
          <w:sz w:val="20"/>
          <w:szCs w:val="20"/>
          <w:color w:val="auto"/>
        </w:rPr>
      </w:pPr>
    </w:p>
    <w:p>
      <w:pPr>
        <w:jc w:val="both"/>
        <w:ind w:firstLine="1278"/>
        <w:spacing w:after="0"/>
        <w:tabs>
          <w:tab w:leader="none" w:pos="171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Cancellation and/or Adjustment of Global Notes. </w:t>
      </w:r>
      <w:r>
        <w:rPr>
          <w:rFonts w:ascii="Times New Roman" w:cs="Times New Roman" w:eastAsia="Times New Roman" w:hAnsi="Times New Roman"/>
          <w:sz w:val="19"/>
          <w:szCs w:val="19"/>
          <w:color w:val="auto"/>
        </w:rPr>
        <w:t>At such time as all beneficial interests in a particular Global Note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been exchanged for beneficial interests in another Global Note 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339"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i w:val="1"/>
          <w:iCs w:val="1"/>
          <w:color w:val="auto"/>
        </w:rPr>
        <w:t>eneral Provisions Relating to Transfers and Exchanges</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ind w:left="640" w:right="20" w:firstLine="1274"/>
        <w:spacing w:after="0" w:line="270" w:lineRule="auto"/>
        <w:tabs>
          <w:tab w:leader="none" w:pos="2334"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permit registrations of transfers and exchanges, the Issuer will execute and the Trustee will authenticate Global Notes and Definitive Notes upon receipt of an Authentication Order in accordance with Section 2.02 or at the Registrar’s request.</w:t>
      </w:r>
    </w:p>
    <w:p>
      <w:pPr>
        <w:spacing w:after="0" w:line="131"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46"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service charge will be made to a Holder of a beneficial interest in a Global Note or to a Holder of a Definitive Note for any registration of transfer or exchange, but the Issuer or the Registrar may require payment of a sum sufficient to cover any transfer tax or similar governmental charge payable in connection therewith (other than any such transfer taxes or similar governmental charge payable upon exchange pursuant to Sections 2.10, 3.06, 3.09, 4.10, 4.15 and 9.04 not involving any transfer).</w:t>
      </w:r>
    </w:p>
    <w:p>
      <w:pPr>
        <w:spacing w:after="0" w:line="141" w:lineRule="exact"/>
        <w:rPr>
          <w:rFonts w:ascii="Times New Roman" w:cs="Times New Roman" w:eastAsia="Times New Roman" w:hAnsi="Times New Roman"/>
          <w:sz w:val="19"/>
          <w:szCs w:val="19"/>
          <w:color w:val="auto"/>
        </w:rPr>
      </w:pPr>
    </w:p>
    <w:p>
      <w:pPr>
        <w:ind w:left="640" w:firstLine="1274"/>
        <w:spacing w:after="0" w:line="270" w:lineRule="auto"/>
        <w:tabs>
          <w:tab w:leader="none" w:pos="2375"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will not be required to register the transfer of or exchange of any Note selected for redemption in whole or in part, except the unredeemed portion of any Note being redeemed in part.</w:t>
      </w:r>
    </w:p>
    <w:p>
      <w:pPr>
        <w:spacing w:after="0" w:line="131"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88"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149"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Registrar nor the Issuer will be required:</w:t>
      </w:r>
    </w:p>
    <w:p>
      <w:pPr>
        <w:spacing w:after="0" w:line="179" w:lineRule="exact"/>
        <w:rPr>
          <w:rFonts w:ascii="Times New Roman" w:cs="Times New Roman" w:eastAsia="Times New Roman" w:hAnsi="Times New Roman"/>
          <w:sz w:val="19"/>
          <w:szCs w:val="19"/>
          <w:color w:val="auto"/>
        </w:rPr>
      </w:pPr>
    </w:p>
    <w:p>
      <w:pPr>
        <w:jc w:val="both"/>
        <w:ind w:left="1280" w:firstLine="1270"/>
        <w:spacing w:after="0" w:line="251" w:lineRule="auto"/>
        <w:tabs>
          <w:tab w:leader="none" w:pos="3046"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49" w:lineRule="exact"/>
        <w:rPr>
          <w:rFonts w:ascii="Times New Roman" w:cs="Times New Roman" w:eastAsia="Times New Roman" w:hAnsi="Times New Roman"/>
          <w:sz w:val="19"/>
          <w:szCs w:val="19"/>
          <w:color w:val="auto"/>
        </w:rPr>
      </w:pPr>
    </w:p>
    <w:p>
      <w:pPr>
        <w:ind w:left="1280" w:right="20" w:firstLine="1270"/>
        <w:spacing w:after="0" w:line="270" w:lineRule="auto"/>
        <w:tabs>
          <w:tab w:leader="none" w:pos="3023"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register the transfer of or to exchange any Note selected for redemption in whole or in part, except the unredeemed portion of any Note being redeemed in part; or</w:t>
      </w:r>
    </w:p>
    <w:p>
      <w:pPr>
        <w:spacing w:after="0" w:line="131" w:lineRule="exact"/>
        <w:rPr>
          <w:rFonts w:ascii="Times New Roman" w:cs="Times New Roman" w:eastAsia="Times New Roman" w:hAnsi="Times New Roman"/>
          <w:sz w:val="19"/>
          <w:szCs w:val="19"/>
          <w:color w:val="auto"/>
        </w:rPr>
      </w:pPr>
    </w:p>
    <w:p>
      <w:pPr>
        <w:ind w:left="3060" w:hanging="510"/>
        <w:spacing w:after="0"/>
        <w:tabs>
          <w:tab w:leader="none" w:pos="3060"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register the transfer of or to exchange a Note between a record date and the next succeeding Interest</w:t>
      </w:r>
    </w:p>
    <w:p>
      <w:pPr>
        <w:spacing w:after="0" w:line="15" w:lineRule="exact"/>
        <w:rPr>
          <w:rFonts w:ascii="Times New Roman" w:cs="Times New Roman" w:eastAsia="Times New Roman" w:hAnsi="Times New Roman"/>
          <w:sz w:val="19"/>
          <w:szCs w:val="19"/>
          <w:color w:val="auto"/>
        </w:rPr>
      </w:pP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8" w:lineRule="exact"/>
        <w:rPr>
          <w:sz w:val="20"/>
          <w:szCs w:val="20"/>
          <w:color w:val="auto"/>
        </w:rPr>
      </w:pPr>
    </w:p>
    <w:p>
      <w:pPr>
        <w:jc w:val="both"/>
        <w:ind w:left="640" w:firstLine="1274"/>
        <w:spacing w:after="0" w:line="245" w:lineRule="auto"/>
        <w:tabs>
          <w:tab w:leader="none" w:pos="236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41" w:lineRule="exact"/>
        <w:rPr>
          <w:rFonts w:ascii="Times New Roman" w:cs="Times New Roman" w:eastAsia="Times New Roman" w:hAnsi="Times New Roman"/>
          <w:sz w:val="19"/>
          <w:szCs w:val="19"/>
          <w:color w:val="auto"/>
        </w:rPr>
      </w:pPr>
    </w:p>
    <w:p>
      <w:pPr>
        <w:ind w:left="2420" w:hanging="506"/>
        <w:spacing w:after="0"/>
        <w:tabs>
          <w:tab w:leader="none" w:pos="242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authenticate Global Notes and Definitive Notes in accordance with the provisions of Section</w:t>
      </w:r>
    </w:p>
    <w:p>
      <w:pPr>
        <w:spacing w:after="0" w:line="1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2.02.</w:t>
      </w:r>
    </w:p>
    <w:p>
      <w:pPr>
        <w:spacing w:after="0" w:line="170" w:lineRule="exact"/>
        <w:rPr>
          <w:rFonts w:ascii="Times New Roman" w:cs="Times New Roman" w:eastAsia="Times New Roman" w:hAnsi="Times New Roman"/>
          <w:sz w:val="19"/>
          <w:szCs w:val="19"/>
          <w:color w:val="auto"/>
        </w:rPr>
      </w:pPr>
    </w:p>
    <w:p>
      <w:pPr>
        <w:ind w:left="640" w:firstLine="1274"/>
        <w:spacing w:after="0" w:line="270" w:lineRule="auto"/>
        <w:tabs>
          <w:tab w:leader="none" w:pos="237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certifications, certificates and Opinions of Counsel required to be submitted to the Registrar pursuant to this Section 2.06 to effect a registration of transfer or exchange may be submitted by facsimile or electronic image scan.</w:t>
      </w:r>
    </w:p>
    <w:p>
      <w:pPr>
        <w:spacing w:after="0" w:line="131"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51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herein to the contrary, neither the Trustee nor the Registrar shall be responsible for ascertaining whether any transfer complies with the registration provisions of or exemptions from the Securities Act or state securities laws.</w:t>
      </w:r>
    </w:p>
    <w:p>
      <w:pPr>
        <w:spacing w:after="0" w:line="13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2.07</w:t>
      </w:r>
      <w:r>
        <w:rPr>
          <w:sz w:val="20"/>
          <w:szCs w:val="20"/>
          <w:color w:val="auto"/>
        </w:rPr>
        <w:tab/>
      </w:r>
      <w:r>
        <w:rPr>
          <w:rFonts w:ascii="Times New Roman" w:cs="Times New Roman" w:eastAsia="Times New Roman" w:hAnsi="Times New Roman"/>
          <w:sz w:val="19"/>
          <w:szCs w:val="19"/>
          <w:i w:val="1"/>
          <w:iCs w:val="1"/>
          <w:color w:val="auto"/>
        </w:rPr>
        <w:t>Replacement Notes.</w:t>
      </w:r>
    </w:p>
    <w:p>
      <w:pPr>
        <w:spacing w:after="0" w:line="194"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color w:val="auto"/>
        </w:rPr>
        <w:t>If any mutilated Note is surrendered to the Trustee or either the Issuer or the Trustee receives evidence to its satisfaction of the destruction, loss or theft of any Note, and such other reasonable requirements as may be imposed by the Issuer as permitted by Section 8-405 of the Uniform Commercial Code have been satisfied, then, in the absence of notice to the Issuer or the Trustee that such Note has been acquired by a “protected purchaser” within the meaning of Section 8-405 of the Uniform Commercial Code, the Issuer will issue and the Trustee, upon receipt of an Authentication Order, will authenticate a replacement Note if the Trustee’s requirements are met. If required by the Trustee or the Issuer, an indemnity bond must be supplied by the Holder that is sufficient in the judgment of the Trustee or the Issuer, as applicable, to protect the Issuer, the Trustee, any Agent and any authenticating agent from any loss that any of them may suffer if a Note is replaced. The Issuer may charge the Holder for its expenses in replacing a Note.</w:t>
      </w:r>
    </w:p>
    <w:p>
      <w:pPr>
        <w:spacing w:after="0" w:line="162"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Every replacement Note is an additional obligation of the Issuer and will be entitled to all of the benefits of this Indenture equally and proportionately with all other Notes duly issued hereunder.</w:t>
      </w:r>
    </w:p>
    <w:p>
      <w:pPr>
        <w:spacing w:after="0" w:line="11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2.08</w:t>
      </w:r>
      <w:r>
        <w:rPr>
          <w:sz w:val="20"/>
          <w:szCs w:val="20"/>
          <w:color w:val="auto"/>
        </w:rPr>
        <w:tab/>
      </w:r>
      <w:r>
        <w:rPr>
          <w:rFonts w:ascii="Times New Roman" w:cs="Times New Roman" w:eastAsia="Times New Roman" w:hAnsi="Times New Roman"/>
          <w:sz w:val="19"/>
          <w:szCs w:val="19"/>
          <w:i w:val="1"/>
          <w:iCs w:val="1"/>
          <w:color w:val="auto"/>
        </w:rPr>
        <w:t>Outstanding Notes.</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155"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If a Note is replaced pursuant to Section 2.07, it ceases to be outstanding unless the Trustee receives proof satisfactory to it that the replaced Note is held by a protected purchaser within the meaning of Section 8-405 of the Uniform Commercial Code.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the principal amount of any Note is considered paid under Section 4.01, it ceases to be outstanding and interest on it ceases to accrue.</w:t>
      </w:r>
    </w:p>
    <w:p>
      <w:pPr>
        <w:spacing w:after="0" w:line="192"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If the Paying Agent (other than the Issuer, a Subsidiary or an Affiliate of any thereof) holds, by 11:00 a.m., New York City time, on a redemption date or other maturity date, money sufficient to pay Notes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payable on that date, then on and after that date such Notes will be deemed to be no longer outstanding and will cease to accrue interest.</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2.09</w:t>
      </w:r>
      <w:r>
        <w:rPr>
          <w:sz w:val="20"/>
          <w:szCs w:val="20"/>
          <w:color w:val="auto"/>
        </w:rPr>
        <w:tab/>
      </w:r>
      <w:r>
        <w:rPr>
          <w:rFonts w:ascii="Times New Roman" w:cs="Times New Roman" w:eastAsia="Times New Roman" w:hAnsi="Times New Roman"/>
          <w:sz w:val="19"/>
          <w:szCs w:val="19"/>
          <w:i w:val="1"/>
          <w:iCs w:val="1"/>
          <w:color w:val="auto"/>
        </w:rPr>
        <w:t>Treasury Notes.</w:t>
      </w:r>
    </w:p>
    <w:p>
      <w:pPr>
        <w:spacing w:after="0" w:line="194"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2.10</w:t>
      </w:r>
      <w:r>
        <w:rPr>
          <w:sz w:val="20"/>
          <w:szCs w:val="20"/>
          <w:color w:val="auto"/>
        </w:rPr>
        <w:tab/>
      </w:r>
      <w:r>
        <w:rPr>
          <w:rFonts w:ascii="Times New Roman" w:cs="Times New Roman" w:eastAsia="Times New Roman" w:hAnsi="Times New Roman"/>
          <w:sz w:val="19"/>
          <w:szCs w:val="19"/>
          <w:i w:val="1"/>
          <w:iCs w:val="1"/>
          <w:color w:val="auto"/>
        </w:rPr>
        <w:t>Temporary Notes.</w:t>
      </w:r>
    </w:p>
    <w:p>
      <w:pPr>
        <w:spacing w:after="0" w:line="18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Holders of temporary Notes will be entitled to all of the benefits of this Indenture.</w:t>
      </w:r>
    </w:p>
    <w:p>
      <w:pPr>
        <w:spacing w:after="0" w:line="19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2.11</w:t>
      </w:r>
      <w:r>
        <w:rPr>
          <w:sz w:val="20"/>
          <w:szCs w:val="20"/>
          <w:color w:val="auto"/>
        </w:rPr>
        <w:tab/>
      </w:r>
      <w:r>
        <w:rPr>
          <w:rFonts w:ascii="Times New Roman" w:cs="Times New Roman" w:eastAsia="Times New Roman" w:hAnsi="Times New Roman"/>
          <w:sz w:val="19"/>
          <w:szCs w:val="19"/>
          <w:i w:val="1"/>
          <w:iCs w:val="1"/>
          <w:color w:val="auto"/>
        </w:rPr>
        <w:t>Cancellation.</w:t>
      </w:r>
    </w:p>
    <w:p>
      <w:pPr>
        <w:spacing w:after="0" w:line="181"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and its own policies). Upon written request of the Issuer, certification of the disposition of all canceled Notes shall be delivered to the Issuer. The Issuer may not issue new Notes to replace Notes that it has paid or that have been delivered to the Trustee for cancellation.</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2.12</w:t>
      </w:r>
      <w:r>
        <w:rPr>
          <w:sz w:val="20"/>
          <w:szCs w:val="20"/>
          <w:color w:val="auto"/>
        </w:rPr>
        <w:tab/>
      </w:r>
      <w:r>
        <w:rPr>
          <w:rFonts w:ascii="Times New Roman" w:cs="Times New Roman" w:eastAsia="Times New Roman" w:hAnsi="Times New Roman"/>
          <w:sz w:val="19"/>
          <w:szCs w:val="19"/>
          <w:i w:val="1"/>
          <w:iCs w:val="1"/>
          <w:color w:val="auto"/>
        </w:rPr>
        <w:t>Defaulted Interest.</w:t>
      </w:r>
    </w:p>
    <w:p>
      <w:pPr>
        <w:spacing w:after="0" w:line="194"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 xml:space="preserve">If the Issuer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special record date shall not be required with respect to payments of defaulted interest made within the applicable grace period for such payment. The Issuer will notify the Trustee, and the Paying Agent if other than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special record date may be less than 10 days prior to the related payment date for such defaulted interest. For purposes of Sections 2.05, 2.06, 3.05, 3.07, 3.09, 4.10 and 4.15, reference to “Interest Payment Date” shall be deemed to refer to and include any such payment date so fixed. At least 10 days before the special record date, the Issuer (or, upon the written request of the Issuer, the Trustee in the name and at the expense of the Issuer) will mail or cause to be mailed to Holders a notice that states the special record date, the related payment date and the amount of such interest to be paid.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8"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Notwithstanding the foregoing, any interest which is paid prior to the expiration of the 30-day period set forth in Section 6.01(a) shall be paid to the Holders as of the record day for the Interest Payment Date for which interest has not been paid.</w:t>
      </w:r>
    </w:p>
    <w:p>
      <w:pPr>
        <w:spacing w:after="0" w:line="11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2.13</w:t>
      </w:r>
      <w:r>
        <w:rPr>
          <w:sz w:val="20"/>
          <w:szCs w:val="20"/>
          <w:color w:val="auto"/>
        </w:rPr>
        <w:tab/>
      </w:r>
      <w:r>
        <w:rPr>
          <w:rFonts w:ascii="Times New Roman" w:cs="Times New Roman" w:eastAsia="Times New Roman" w:hAnsi="Times New Roman"/>
          <w:sz w:val="19"/>
          <w:szCs w:val="19"/>
          <w:i w:val="1"/>
          <w:iCs w:val="1"/>
          <w:color w:val="auto"/>
        </w:rPr>
        <w:t>Issuance of Additional Notes.</w:t>
      </w:r>
    </w:p>
    <w:p>
      <w:pPr>
        <w:spacing w:after="0" w:line="194" w:lineRule="exact"/>
        <w:rPr>
          <w:sz w:val="20"/>
          <w:szCs w:val="20"/>
          <w:color w:val="auto"/>
        </w:rPr>
      </w:pPr>
    </w:p>
    <w:p>
      <w:pPr>
        <w:jc w:val="both"/>
        <w:ind w:firstLine="1278"/>
        <w:spacing w:after="0"/>
        <w:tabs>
          <w:tab w:leader="none" w:pos="1713"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shall be entitled, subject to its compliance with Article 4, to issue Additional Notes under this Indenture. Any Additional Notes shall be part of the same series as the Initial Notes issued on the Issue Date, rank equally with the Initial Notes and have identical terms and conditions to the Initial Notes in all respects other than (a) the date of issuance, (b) the issue price and (c) at the option of the Issuer, (i) as to the payment of interest accruing prior to the issue date of such Additional Notes, and (ii) the first payment of interest following the issue date of such Additional Notes. The Initial Notes and any Additional Notes subsequently issued upon original issue under this Indenture shall be treated as a single class for all purposes under this Indenture, including directions, waivers, amendments, consents, redemptions and offers to purchase, and none of the Holders of any Initial Notes or any Additional Notes shall have the right to vote or consent as a separate class on any matter to which such Holders are entitled to vote or consent;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any Additional Notes are not fungible with the Initial Notes for U.S. federal income tax purposes, such Additional Notes shall have a different CUSIP number (or other applicable identifying number).</w:t>
      </w:r>
    </w:p>
    <w:p>
      <w:pPr>
        <w:spacing w:after="0" w:line="352" w:lineRule="exact"/>
        <w:rPr>
          <w:rFonts w:ascii="Times New Roman" w:cs="Times New Roman" w:eastAsia="Times New Roman" w:hAnsi="Times New Roman"/>
          <w:sz w:val="19"/>
          <w:szCs w:val="19"/>
          <w:color w:val="auto"/>
        </w:rPr>
      </w:pPr>
    </w:p>
    <w:p>
      <w:pPr>
        <w:ind w:firstLine="1278"/>
        <w:spacing w:after="0" w:line="270" w:lineRule="auto"/>
        <w:tabs>
          <w:tab w:leader="none" w:pos="173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Additional Notes, the Issuer shall set forth in a supplemental indenture or an Officers’ Certificate, a copy of which shall be delivered to the Trustee at or prior to original issuance thereof, the following information:</w:t>
      </w:r>
    </w:p>
    <w:p>
      <w:pPr>
        <w:spacing w:after="0" w:line="117" w:lineRule="exact"/>
        <w:rPr>
          <w:rFonts w:ascii="Times New Roman" w:cs="Times New Roman" w:eastAsia="Times New Roman" w:hAnsi="Times New Roman"/>
          <w:sz w:val="19"/>
          <w:szCs w:val="19"/>
          <w:color w:val="auto"/>
        </w:rPr>
      </w:pPr>
    </w:p>
    <w:p>
      <w:pPr>
        <w:ind w:left="2460" w:hanging="546"/>
        <w:spacing w:after="0"/>
        <w:tabs>
          <w:tab w:leader="none" w:pos="246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amount of such Additional Notes to be authenticated and delivered pursuant to this</w:t>
      </w:r>
    </w:p>
    <w:p>
      <w:pPr>
        <w:spacing w:after="0" w:line="1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Indenture;</w:t>
      </w:r>
    </w:p>
    <w:p>
      <w:pPr>
        <w:spacing w:after="0" w:line="170" w:lineRule="exact"/>
        <w:rPr>
          <w:rFonts w:ascii="Times New Roman" w:cs="Times New Roman" w:eastAsia="Times New Roman" w:hAnsi="Times New Roman"/>
          <w:sz w:val="19"/>
          <w:szCs w:val="19"/>
          <w:color w:val="auto"/>
        </w:rPr>
      </w:pPr>
    </w:p>
    <w:p>
      <w:pPr>
        <w:ind w:left="640" w:right="20" w:firstLine="1274"/>
        <w:spacing w:after="0" w:line="270" w:lineRule="auto"/>
        <w:tabs>
          <w:tab w:leader="none" w:pos="2358"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 date (and the corresponding date from which interest shall accrue thereon and the first Interest Payment Date therefor), the CUSIP and/or ISIN number and the issue price of such Additional Notes; and</w:t>
      </w:r>
    </w:p>
    <w:p>
      <w:pPr>
        <w:spacing w:after="0" w:line="131" w:lineRule="exact"/>
        <w:rPr>
          <w:rFonts w:ascii="Times New Roman" w:cs="Times New Roman" w:eastAsia="Times New Roman" w:hAnsi="Times New Roman"/>
          <w:sz w:val="19"/>
          <w:szCs w:val="19"/>
          <w:color w:val="auto"/>
        </w:rPr>
      </w:pPr>
    </w:p>
    <w:p>
      <w:pPr>
        <w:ind w:left="640" w:firstLine="1274"/>
        <w:spacing w:after="0" w:line="270" w:lineRule="auto"/>
        <w:tabs>
          <w:tab w:leader="none" w:pos="2371"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such Additional Notes shall be subject to the restrictions on transfer set forth in Section 2.06 relating to Restricted Global Notes and Restricted Definitive Notes.</w:t>
      </w:r>
    </w:p>
    <w:p>
      <w:pPr>
        <w:spacing w:after="0" w:line="11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2.14</w:t>
      </w:r>
      <w:r>
        <w:rPr>
          <w:sz w:val="20"/>
          <w:szCs w:val="20"/>
          <w:color w:val="auto"/>
        </w:rPr>
        <w:tab/>
      </w:r>
      <w:r>
        <w:rPr>
          <w:rFonts w:ascii="Times New Roman" w:cs="Times New Roman" w:eastAsia="Times New Roman" w:hAnsi="Times New Roman"/>
          <w:sz w:val="19"/>
          <w:szCs w:val="19"/>
          <w:i w:val="1"/>
          <w:iCs w:val="1"/>
          <w:color w:val="auto"/>
        </w:rPr>
        <w:t>Computation of Interest.</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Interest on the Notes shall be computed on the basis of a 360-day year of twelve 30-day months.</w:t>
      </w:r>
    </w:p>
    <w:p>
      <w:pPr>
        <w:spacing w:after="0" w:line="19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2.15</w:t>
      </w:r>
      <w:r>
        <w:rPr>
          <w:sz w:val="20"/>
          <w:szCs w:val="20"/>
          <w:color w:val="auto"/>
        </w:rPr>
        <w:tab/>
      </w:r>
      <w:r>
        <w:rPr>
          <w:rFonts w:ascii="Times New Roman" w:cs="Times New Roman" w:eastAsia="Times New Roman" w:hAnsi="Times New Roman"/>
          <w:sz w:val="19"/>
          <w:szCs w:val="19"/>
          <w:i w:val="1"/>
          <w:iCs w:val="1"/>
          <w:color w:val="auto"/>
        </w:rPr>
        <w:t>CUSIP Number.</w:t>
      </w:r>
    </w:p>
    <w:p>
      <w:pPr>
        <w:spacing w:after="0" w:line="181"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 xml:space="preserve">The Issuer in issuing the Notes may use “CUSIP” numbers (if then generally in use), and, if so, the Trustee shall use “CUSIP” numbers in notices of redemption as a convenience to Holders;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Trustee shall have no liability for any defect in the CUSIP numbers as they appear on the Notes, in any notice or elsewhere and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3</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REDEMPTION AND PREPAYMENT</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3.01</w:t>
      </w:r>
      <w:r>
        <w:rPr>
          <w:sz w:val="20"/>
          <w:szCs w:val="20"/>
          <w:color w:val="auto"/>
        </w:rPr>
        <w:tab/>
      </w:r>
      <w:r>
        <w:rPr>
          <w:rFonts w:ascii="Times New Roman" w:cs="Times New Roman" w:eastAsia="Times New Roman" w:hAnsi="Times New Roman"/>
          <w:sz w:val="19"/>
          <w:szCs w:val="19"/>
          <w:i w:val="1"/>
          <w:iCs w:val="1"/>
          <w:color w:val="auto"/>
        </w:rPr>
        <w:t>Notices to Trustee.</w:t>
      </w:r>
    </w:p>
    <w:p>
      <w:pPr>
        <w:spacing w:after="0" w:line="19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If the Issuer elects to redeem Notes pursuant to the optional redemption provisions of Section 3.07, the Issuer must furnish to the Trustee, at least five Business Days prior to the giving of notice of a redemption (or such shorter period as shall be acceptable to the Trustee), an Officers’ Certificate setting forth:</w:t>
      </w:r>
    </w:p>
    <w:p>
      <w:pPr>
        <w:spacing w:after="0" w:line="149" w:lineRule="exact"/>
        <w:rPr>
          <w:sz w:val="20"/>
          <w:szCs w:val="20"/>
          <w:color w:val="auto"/>
        </w:rPr>
      </w:pPr>
    </w:p>
    <w:p>
      <w:pPr>
        <w:ind w:left="1680" w:hanging="402"/>
        <w:spacing w:after="0"/>
        <w:tabs>
          <w:tab w:leader="none" w:pos="168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clause of this Indenture pursuant to which the redemption shall occur;</w:t>
      </w:r>
    </w:p>
    <w:p>
      <w:pPr>
        <w:spacing w:after="0" w:line="17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date;</w:t>
      </w:r>
    </w:p>
    <w:p>
      <w:pPr>
        <w:spacing w:after="0" w:line="192"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Notes to be redeemed; and</w:t>
      </w:r>
    </w:p>
    <w:p>
      <w:pPr>
        <w:spacing w:after="0" w:line="192" w:lineRule="exact"/>
        <w:rPr>
          <w:rFonts w:ascii="Times New Roman" w:cs="Times New Roman" w:eastAsia="Times New Roman" w:hAnsi="Times New Roman"/>
          <w:sz w:val="19"/>
          <w:szCs w:val="19"/>
          <w:color w:val="auto"/>
        </w:rPr>
      </w:pPr>
    </w:p>
    <w:p>
      <w:pPr>
        <w:ind w:left="640" w:right="2900" w:firstLine="638"/>
        <w:spacing w:after="0" w:line="442" w:lineRule="auto"/>
        <w:tabs>
          <w:tab w:leader="none" w:pos="1697"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redemption price (if then determined and otherwise the method of determination). Section 3.02 </w:t>
      </w:r>
      <w:r>
        <w:rPr>
          <w:rFonts w:ascii="Times New Roman" w:cs="Times New Roman" w:eastAsia="Times New Roman" w:hAnsi="Times New Roman"/>
          <w:sz w:val="19"/>
          <w:szCs w:val="19"/>
          <w:i w:val="1"/>
          <w:iCs w:val="1"/>
          <w:color w:val="auto"/>
        </w:rPr>
        <w:t>Selection of Notes to Be Redeemed.</w:t>
      </w:r>
    </w:p>
    <w:p>
      <w:pPr>
        <w:spacing w:after="0" w:line="2"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19"/>
          <w:szCs w:val="19"/>
          <w:color w:val="auto"/>
        </w:rPr>
        <w:t xml:space="preserve">If less than all of the Notes are to be redeemed at any time, the Trustee will select Notes for redemption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(or, in the case of Notes issued in global form pursuant to Article 2, based on a method as DTC or its nominee or successor may require or a method that most nearly approximates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selection as the Trustee deems fair and appropriate and is in accordance with the applicable procedures of DTC) unless otherwise required by law or applicable stock exchange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Trustee knows of such listing) or depositary requirements.</w:t>
      </w:r>
    </w:p>
    <w:p>
      <w:pPr>
        <w:spacing w:after="0" w:line="376"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In the event of partial redemption by lot, the particular Notes to be redeemed will be selected, unless otherwise provided herein, not less than 10 nor more than 60 days prior to the redemption date by the Trustee from the outstanding Notes not previously called for redemption.</w:t>
      </w:r>
    </w:p>
    <w:p>
      <w:pPr>
        <w:spacing w:after="0" w:line="11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Trustee will promptly notify the Issuer in writing of the Notes selected for redemption and, in the case of any Note selected for partial redemption, the principal amount thereof to be redeemed. Notes and portions of Notes selected will be in minimum amounts of $2,000 or integral multiples of $1,000 in excess thereof. Except as provided in the preceding sentence, provisions of this Indenture that apply to Notes called for redemption also apply to portions of Notes called for redemption.</w:t>
      </w:r>
    </w:p>
    <w:p>
      <w:pPr>
        <w:spacing w:after="0" w:line="15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3.03</w:t>
      </w:r>
      <w:r>
        <w:rPr>
          <w:sz w:val="20"/>
          <w:szCs w:val="20"/>
          <w:color w:val="auto"/>
        </w:rPr>
        <w:tab/>
      </w:r>
      <w:r>
        <w:rPr>
          <w:rFonts w:ascii="Times New Roman" w:cs="Times New Roman" w:eastAsia="Times New Roman" w:hAnsi="Times New Roman"/>
          <w:sz w:val="19"/>
          <w:szCs w:val="19"/>
          <w:i w:val="1"/>
          <w:iCs w:val="1"/>
          <w:color w:val="auto"/>
        </w:rPr>
        <w:t>Notice of Redemption.</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At least 10 days but not more than 60 days before a redemption date, the Issuer will send or cause to be sent, by first class mail (or electronically if DTC is the recipient), a notice of redemption to each Holder whose Notes are to be redeemed at its registered address (with a copy to the Trustee), except that redemption notices may be given more than 60 days prior to a redemption date if the notice is issued in connection with a defeasance of the Notes or a satisfaction and discharge of this Indenture pursuant to Article 8 or 11.</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notice will identify the Notes to be redeemed and will state:</w:t>
      </w:r>
    </w:p>
    <w:p>
      <w:pPr>
        <w:spacing w:after="0" w:line="192"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9"/>
          <w:szCs w:val="19"/>
          <w:color w:val="auto"/>
        </w:rPr>
        <w:t>(a)</w:t>
        <w:tab/>
        <w:t>the redemption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8" w:lineRule="exact"/>
        <w:rPr>
          <w:sz w:val="20"/>
          <w:szCs w:val="20"/>
          <w:color w:val="auto"/>
        </w:rPr>
      </w:pPr>
    </w:p>
    <w:p>
      <w:pPr>
        <w:ind w:left="1700" w:hanging="422"/>
        <w:spacing w:after="0"/>
        <w:tabs>
          <w:tab w:leader="none" w:pos="17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price (if then determined and otherwise the method of determination);</w:t>
      </w:r>
    </w:p>
    <w:p>
      <w:pPr>
        <w:spacing w:after="0" w:line="17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0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thereof upon cancellation of the original Note;</w:t>
      </w:r>
    </w:p>
    <w:p>
      <w:pPr>
        <w:spacing w:after="0" w:line="14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and address of the Paying Agent;</w:t>
      </w:r>
    </w:p>
    <w:p>
      <w:pPr>
        <w:spacing w:after="0" w:line="192"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Notes called for redemption must be surrendered to the Paying Agent to collect the redemption price;</w:t>
      </w:r>
    </w:p>
    <w:p>
      <w:pPr>
        <w:spacing w:after="0" w:line="179" w:lineRule="exact"/>
        <w:rPr>
          <w:rFonts w:ascii="Times New Roman" w:cs="Times New Roman" w:eastAsia="Times New Roman" w:hAnsi="Times New Roman"/>
          <w:sz w:val="19"/>
          <w:szCs w:val="19"/>
          <w:color w:val="auto"/>
        </w:rPr>
      </w:pPr>
    </w:p>
    <w:p>
      <w:pPr>
        <w:ind w:firstLine="1278"/>
        <w:spacing w:after="0" w:line="270" w:lineRule="auto"/>
        <w:tabs>
          <w:tab w:leader="none" w:pos="178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making such redemption payment, interest on Notes or portions thereof called for redemption ceases to accrue on and after the redemption date;</w:t>
      </w:r>
    </w:p>
    <w:p>
      <w:pPr>
        <w:spacing w:after="0" w:line="131" w:lineRule="exact"/>
        <w:rPr>
          <w:rFonts w:ascii="Times New Roman" w:cs="Times New Roman" w:eastAsia="Times New Roman" w:hAnsi="Times New Roman"/>
          <w:sz w:val="19"/>
          <w:szCs w:val="19"/>
          <w:color w:val="auto"/>
        </w:rPr>
      </w:pPr>
    </w:p>
    <w:p>
      <w:pPr>
        <w:ind w:left="1740" w:hanging="462"/>
        <w:spacing w:after="0"/>
        <w:tabs>
          <w:tab w:leader="none" w:pos="17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paragraph of the Notes and/or Section of this Indenture pursuant to which the Notes called for redemption are being</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redeemed;</w:t>
      </w:r>
    </w:p>
    <w:p>
      <w:pPr>
        <w:spacing w:after="0" w:line="170" w:lineRule="exact"/>
        <w:rPr>
          <w:rFonts w:ascii="Times New Roman" w:cs="Times New Roman" w:eastAsia="Times New Roman" w:hAnsi="Times New Roman"/>
          <w:sz w:val="19"/>
          <w:szCs w:val="19"/>
          <w:color w:val="auto"/>
        </w:rPr>
      </w:pPr>
    </w:p>
    <w:p>
      <w:pPr>
        <w:ind w:firstLine="1278"/>
        <w:spacing w:after="0" w:line="270" w:lineRule="auto"/>
        <w:tabs>
          <w:tab w:leader="none" w:pos="170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 representation is made as to the correctness or accuracy of the CUSIP or ISIN number, if any, listed in such notice or printed on the Notes; and</w:t>
      </w:r>
    </w:p>
    <w:p>
      <w:pPr>
        <w:spacing w:after="0" w:line="117"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conditions precedent to such redemption.</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9"/>
          <w:szCs w:val="19"/>
          <w:color w:val="auto"/>
        </w:rPr>
        <w:t xml:space="preserve">At the Issuer’s request, the Trustee will give the notice of redemption in the Issuer’s name and at the Issuer’s expense;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Officers’ Certificate delivered to the Trustee pursuant to Section 3.01 requests that the Trustee give such notice and sets forth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information to be stated in such notice as provided in the preceding paragraph.</w:t>
      </w:r>
    </w:p>
    <w:p>
      <w:pPr>
        <w:spacing w:after="0" w:line="14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A notice of redemption with respect to a redemption described in Section 3.07(b) need not set forth the Applicable Premium but only the manner of calculation thereof. The Issuer shall notify the Trustee of the Applicable Premium with respect to any such redemption promptly after the calculation, and the Trustee shall not be responsible for making, confirming or verifying such calculation.</w:t>
      </w:r>
    </w:p>
    <w:p>
      <w:pPr>
        <w:spacing w:after="0" w:line="13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3.04</w:t>
      </w:r>
      <w:r>
        <w:rPr>
          <w:sz w:val="20"/>
          <w:szCs w:val="20"/>
          <w:color w:val="auto"/>
        </w:rPr>
        <w:tab/>
      </w:r>
      <w:r>
        <w:rPr>
          <w:rFonts w:ascii="Times New Roman" w:cs="Times New Roman" w:eastAsia="Times New Roman" w:hAnsi="Times New Roman"/>
          <w:sz w:val="19"/>
          <w:szCs w:val="19"/>
          <w:i w:val="1"/>
          <w:iCs w:val="1"/>
          <w:color w:val="auto"/>
        </w:rPr>
        <w:t>Effect of Notice of Redemption.</w:t>
      </w:r>
    </w:p>
    <w:p>
      <w:pPr>
        <w:spacing w:after="0" w:line="194"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color w:val="auto"/>
        </w:rPr>
        <w:t>Once notice of redemption is given in accordance with Section 3.03, Notes or portions thereof called for redemption become irrevocably due and payable (subject to satisfaction of any conditions to such redemption) on the redemption date at the redemption price. A notice of redemption may, at the Issuer’s discretion, be subject to one or more conditions precedent. If a redemption is subject to the satisfaction of one or more conditions precedent, the related notice shall describe each such condition and, if applicable, shall state that, in the Issuer’s discretion, the date of redemption may be delayed until such time as any or all such conditions shall be satisfied or waived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such date of redemption be delayed to a date later than 60 days after the date on which such notice was sent), or such redemption may not occur and such notice may be rescinded in the event that any or all such conditions shall not have been satisfied or waived by the Issuer by the date of redemption, or by the date of redemption as so delayed.</w:t>
      </w:r>
    </w:p>
    <w:p>
      <w:pPr>
        <w:spacing w:after="0" w:line="16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3.05</w:t>
      </w:r>
      <w:r>
        <w:rPr>
          <w:sz w:val="20"/>
          <w:szCs w:val="20"/>
          <w:color w:val="auto"/>
        </w:rPr>
        <w:tab/>
      </w:r>
      <w:r>
        <w:rPr>
          <w:rFonts w:ascii="Times New Roman" w:cs="Times New Roman" w:eastAsia="Times New Roman" w:hAnsi="Times New Roman"/>
          <w:sz w:val="19"/>
          <w:szCs w:val="19"/>
          <w:i w:val="1"/>
          <w:iCs w:val="1"/>
          <w:color w:val="auto"/>
        </w:rPr>
        <w:t>Deposit of Redemption Price.</w:t>
      </w:r>
    </w:p>
    <w:p>
      <w:pPr>
        <w:spacing w:after="0" w:line="18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No later than 11:00 a.m., New York City time, on the redemption date, the Issuer will deposit with the Trustee or with the Paying Agent money sufficient to pay the redemption price of and accrued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all Notes to be redeemed on that date. The Trustee or the Paying Agent will promptly return to the Issuer any money deposited with the Trustee or the Paying Agent by the Issuer in excess of the amounts necessary to pay the redemption price of and accrued interest on all Notes to be redeemed.</w:t>
      </w:r>
    </w:p>
    <w:p>
      <w:pPr>
        <w:spacing w:after="0" w:line="136"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If the Issuer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3.06</w:t>
      </w:r>
      <w:r>
        <w:rPr>
          <w:sz w:val="20"/>
          <w:szCs w:val="20"/>
          <w:color w:val="auto"/>
        </w:rPr>
        <w:tab/>
      </w:r>
      <w:r>
        <w:rPr>
          <w:rFonts w:ascii="Times New Roman" w:cs="Times New Roman" w:eastAsia="Times New Roman" w:hAnsi="Times New Roman"/>
          <w:sz w:val="19"/>
          <w:szCs w:val="19"/>
          <w:i w:val="1"/>
          <w:iCs w:val="1"/>
          <w:color w:val="auto"/>
        </w:rPr>
        <w:t>Notes Redeemed in Part.</w:t>
      </w:r>
    </w:p>
    <w:p>
      <w:pPr>
        <w:spacing w:after="0" w:line="19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9"/>
          <w:szCs w:val="19"/>
          <w:color w:val="auto"/>
        </w:rPr>
        <w:t>Upon surrender of a Note that is redeemed in part, the Issuer will issue and, upon receipt of an Authentication Order, the Trustee will authenticate for the Holder at the expense of the Issuer a new Note equal in principal amount to the unredeemed portion of the Note surrendered.</w:t>
      </w:r>
    </w:p>
    <w:p>
      <w:pPr>
        <w:spacing w:after="0" w:line="3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3.07</w:t>
      </w:r>
      <w:r>
        <w:rPr>
          <w:sz w:val="20"/>
          <w:szCs w:val="20"/>
          <w:color w:val="auto"/>
        </w:rPr>
        <w:tab/>
      </w:r>
      <w:r>
        <w:rPr>
          <w:rFonts w:ascii="Times New Roman" w:cs="Times New Roman" w:eastAsia="Times New Roman" w:hAnsi="Times New Roman"/>
          <w:sz w:val="19"/>
          <w:szCs w:val="19"/>
          <w:i w:val="1"/>
          <w:iCs w:val="1"/>
          <w:color w:val="auto"/>
        </w:rPr>
        <w:t>Optional Redemption.</w:t>
      </w:r>
    </w:p>
    <w:p>
      <w:pPr>
        <w:spacing w:after="0" w:line="194" w:lineRule="exact"/>
        <w:rPr>
          <w:sz w:val="20"/>
          <w:szCs w:val="20"/>
          <w:color w:val="auto"/>
        </w:rPr>
      </w:pPr>
    </w:p>
    <w:p>
      <w:pPr>
        <w:jc w:val="both"/>
        <w:ind w:firstLine="1278"/>
        <w:spacing w:after="0" w:line="238" w:lineRule="auto"/>
        <w:tabs>
          <w:tab w:leader="none" w:pos="171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prior to February 1, 2023, the Issuer may on any one or more occasions redeem up to 35% of the aggregate principal amount of the Notes (including, without limitation, any Additional Notes) issued under this Indenture, in an amount not greater than the net cash proceeds of one or more Equity Offerings by the Issuer, upon notice as provided in this Indenture, at a redemption price equal to 107.125% of the principal amount of the Notes redeemed, plus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 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61"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4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prior to February 1, 2023, the Issuer may on any one or more occasions redeem all or a part of the Notes, upon notice as provided in this Indenture, at a redemption price equal to 100% of the principal amount of the Notes redeemed, plus the Applicable Premium as of, and accrued and unpaid interest to, but excluding, the date of redemption, subject to the rights of Holders of Notes on the relevant record date to receive interest due on the relevant Interest Payment Date.</w:t>
      </w:r>
    </w:p>
    <w:p>
      <w:pPr>
        <w:spacing w:after="0" w:line="141" w:lineRule="exact"/>
        <w:rPr>
          <w:rFonts w:ascii="Times New Roman" w:cs="Times New Roman" w:eastAsia="Times New Roman" w:hAnsi="Times New Roman"/>
          <w:sz w:val="19"/>
          <w:szCs w:val="19"/>
          <w:color w:val="auto"/>
        </w:rPr>
      </w:pPr>
    </w:p>
    <w:p>
      <w:pPr>
        <w:ind w:left="1720" w:hanging="442"/>
        <w:spacing w:after="0"/>
        <w:tabs>
          <w:tab w:leader="none" w:pos="172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pursuant to Section 3.07(a), (b) or (e), the Notes will not be redeemable at the Issuer’s option prior to February 1,</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2023.</w:t>
      </w:r>
    </w:p>
    <w:p>
      <w:pPr>
        <w:spacing w:after="0" w:line="170" w:lineRule="exact"/>
        <w:rPr>
          <w:rFonts w:ascii="Times New Roman" w:cs="Times New Roman" w:eastAsia="Times New Roman" w:hAnsi="Times New Roman"/>
          <w:sz w:val="19"/>
          <w:szCs w:val="19"/>
          <w:color w:val="auto"/>
        </w:rPr>
      </w:pPr>
    </w:p>
    <w:p>
      <w:pPr>
        <w:jc w:val="both"/>
        <w:ind w:firstLine="1278"/>
        <w:spacing w:after="0" w:line="242" w:lineRule="auto"/>
        <w:tabs>
          <w:tab w:leader="none" w:pos="1713"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after February 1, 2023, the Issuer may on any one or more occasions redeem all or a part of the Notes, upon notice as provided in this Indenture, at the redemption prices (expressed as percentages of principal amount) set forth below, plus accrued and unpaid interest, if any, on the Notes redeemed to, but excluding, the applicable date of redemption, subject to the rights of Holders of Notes on the relevant record date to receive interest on the relevant Interest Payment Date, if redeemed during the twelve-month period beginning on February 1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1"/>
              </w:rPr>
              <w:t>Year</w:t>
            </w:r>
          </w:p>
        </w:tc>
        <w:tc>
          <w:tcPr>
            <w:tcW w:w="868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Percentage</w:t>
            </w:r>
          </w:p>
        </w:tc>
      </w:tr>
      <w:tr>
        <w:trPr>
          <w:trHeight w:val="24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2023</w:t>
            </w:r>
          </w:p>
        </w:tc>
        <w:tc>
          <w:tcPr>
            <w:tcW w:w="8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103.563%</w:t>
            </w:r>
          </w:p>
        </w:tc>
      </w:tr>
      <w:tr>
        <w:trPr>
          <w:trHeight w:val="238"/>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2024</w:t>
            </w:r>
          </w:p>
        </w:tc>
        <w:tc>
          <w:tcPr>
            <w:tcW w:w="8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101.781%</w:t>
            </w:r>
          </w:p>
        </w:tc>
      </w:tr>
      <w:tr>
        <w:trPr>
          <w:trHeight w:val="253"/>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2025 and thereafter</w:t>
            </w:r>
          </w:p>
        </w:tc>
        <w:tc>
          <w:tcPr>
            <w:tcW w:w="8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100.000%</w:t>
            </w:r>
          </w:p>
        </w:tc>
      </w:tr>
    </w:tbl>
    <w:p>
      <w:pPr>
        <w:spacing w:after="0" w:line="250" w:lineRule="exact"/>
        <w:rPr>
          <w:sz w:val="20"/>
          <w:szCs w:val="20"/>
          <w:color w:val="auto"/>
        </w:rPr>
      </w:pPr>
    </w:p>
    <w:p>
      <w:pPr>
        <w:ind w:left="1720" w:hanging="442"/>
        <w:spacing w:after="0"/>
        <w:tabs>
          <w:tab w:leader="none" w:pos="17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may redeem all (but not a portion of) the Notes when permitted by, and pursuant to the conditions in, Section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4.15(f).</w:t>
      </w:r>
    </w:p>
    <w:p>
      <w:pPr>
        <w:spacing w:after="0" w:line="170" w:lineRule="exact"/>
        <w:rPr>
          <w:sz w:val="20"/>
          <w:szCs w:val="20"/>
          <w:color w:val="auto"/>
        </w:rPr>
      </w:pPr>
    </w:p>
    <w:p>
      <w:pPr>
        <w:ind w:left="640" w:right="480" w:firstLine="638"/>
        <w:spacing w:after="0" w:line="443" w:lineRule="auto"/>
        <w:tabs>
          <w:tab w:leader="none" w:pos="1653"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redemption pursuant to this Section 3.07 shall be made pursuant to the provisions of Sections 3.01 through 3.06. Section 3.08 </w:t>
      </w:r>
      <w:r>
        <w:rPr>
          <w:rFonts w:ascii="Times New Roman" w:cs="Times New Roman" w:eastAsia="Times New Roman" w:hAnsi="Times New Roman"/>
          <w:sz w:val="19"/>
          <w:szCs w:val="19"/>
          <w:i w:val="1"/>
          <w:iCs w:val="1"/>
          <w:color w:val="auto"/>
        </w:rPr>
        <w:t>Mandatory Redemption.</w:t>
      </w:r>
    </w:p>
    <w:p>
      <w:pPr>
        <w:spacing w:after="0" w:line="2"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Issuer is not required to make mandatory redemption or sinking fund payments with respect to the Notes. The Issuer may at any time and from time to time purchase Notes in the open market or otherwise, in each case without any restriction under this Indenture.</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3.09</w:t>
      </w:r>
      <w:r>
        <w:rPr>
          <w:sz w:val="20"/>
          <w:szCs w:val="20"/>
          <w:color w:val="auto"/>
        </w:rPr>
        <w:tab/>
      </w:r>
      <w:r>
        <w:rPr>
          <w:rFonts w:ascii="Times New Roman" w:cs="Times New Roman" w:eastAsia="Times New Roman" w:hAnsi="Times New Roman"/>
          <w:sz w:val="19"/>
          <w:szCs w:val="19"/>
          <w:i w:val="1"/>
          <w:iCs w:val="1"/>
          <w:color w:val="auto"/>
        </w:rPr>
        <w:t>Offer to Purchase by Application of Excess Proceeds.</w:t>
      </w:r>
    </w:p>
    <w:p>
      <w:pPr>
        <w:spacing w:after="0" w:line="18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In the event that, pursuant to Section 4.10, the Issuer is required to commence an Asset Sale Offer to all Holders to purchase Notes, it will follow the procedures specified below.</w:t>
      </w:r>
    </w:p>
    <w:p>
      <w:pPr>
        <w:spacing w:after="0" w:line="129"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color w:val="auto"/>
        </w:rPr>
        <w:t xml:space="preserve">The Asset Sale Offer shall be made to all Holders and all holders of other Indebtedness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Notes containing provisions similar to those set forth in this Indenture with respect to offers to purchase, prepay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Times New Roman" w:cs="Times New Roman" w:eastAsia="Times New Roman" w:hAnsi="Times New Roman"/>
          <w:sz w:val="19"/>
          <w:szCs w:val="19"/>
          <w:i w:val="1"/>
          <w:iCs w:val="1"/>
          <w:color w:val="auto"/>
        </w:rPr>
        <w:t>Offer Period</w:t>
      </w:r>
      <w:r>
        <w:rPr>
          <w:rFonts w:ascii="Times New Roman" w:cs="Times New Roman" w:eastAsia="Times New Roman" w:hAnsi="Times New Roman"/>
          <w:sz w:val="19"/>
          <w:szCs w:val="19"/>
          <w:color w:val="auto"/>
        </w:rPr>
        <w:t>”). No later than three Business Days after the termination of the Offer Period (the “</w:t>
      </w:r>
      <w:r>
        <w:rPr>
          <w:rFonts w:ascii="Times New Roman" w:cs="Times New Roman" w:eastAsia="Times New Roman" w:hAnsi="Times New Roman"/>
          <w:sz w:val="19"/>
          <w:szCs w:val="19"/>
          <w:i w:val="1"/>
          <w:iCs w:val="1"/>
          <w:color w:val="auto"/>
        </w:rPr>
        <w:t>Purchase Date</w:t>
      </w:r>
      <w:r>
        <w:rPr>
          <w:rFonts w:ascii="Times New Roman" w:cs="Times New Roman" w:eastAsia="Times New Roman" w:hAnsi="Times New Roman"/>
          <w:sz w:val="19"/>
          <w:szCs w:val="19"/>
          <w:color w:val="auto"/>
        </w:rPr>
        <w:t>”), the Issuer will apply all Excess Proceeds (the “</w:t>
      </w:r>
      <w:r>
        <w:rPr>
          <w:rFonts w:ascii="Times New Roman" w:cs="Times New Roman" w:eastAsia="Times New Roman" w:hAnsi="Times New Roman"/>
          <w:sz w:val="19"/>
          <w:szCs w:val="19"/>
          <w:i w:val="1"/>
          <w:iCs w:val="1"/>
          <w:color w:val="auto"/>
        </w:rPr>
        <w:t>Offer Amount</w:t>
      </w:r>
      <w:r>
        <w:rPr>
          <w:rFonts w:ascii="Times New Roman" w:cs="Times New Roman" w:eastAsia="Times New Roman" w:hAnsi="Times New Roman"/>
          <w:sz w:val="19"/>
          <w:szCs w:val="19"/>
          <w:color w:val="auto"/>
        </w:rPr>
        <w:t xml:space="preserve">”) to the purchase of Notes and such other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Indebtedness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based on the principal amount of Notes and such other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Indebtedness surrendered, if applicable) or, if less than the Offer Amount has been tendered, all Notes and other Indebtedness tendered in response to the Asset Sale Offer. Payment for any Notes so purchased will be made in the same manner specified in the last paragraph of this Section 3.09.</w:t>
      </w:r>
    </w:p>
    <w:p>
      <w:pPr>
        <w:spacing w:after="0" w:line="16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3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Upon the commencement of an Asset Sale Offer, the Issuer will deliver, by first class mail, a notice to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149" w:lineRule="exact"/>
        <w:rPr>
          <w:sz w:val="20"/>
          <w:szCs w:val="20"/>
          <w:color w:val="auto"/>
        </w:rPr>
      </w:pPr>
    </w:p>
    <w:p>
      <w:pPr>
        <w:ind w:firstLine="1278"/>
        <w:spacing w:after="0" w:line="270" w:lineRule="auto"/>
        <w:tabs>
          <w:tab w:leader="none" w:pos="1682"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Asset Sale Offer is being made pursuant to this Section 3.09 and Section 4.10 and the length of time the Asset Sale Offer will remain open;</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Offer Amount, the purchase price and the Purchase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8" w:lineRule="exact"/>
        <w:rPr>
          <w:sz w:val="20"/>
          <w:szCs w:val="20"/>
          <w:color w:val="auto"/>
        </w:rPr>
      </w:pPr>
    </w:p>
    <w:p>
      <w:pPr>
        <w:ind w:left="1680" w:hanging="402"/>
        <w:spacing w:after="0"/>
        <w:tabs>
          <w:tab w:leader="none" w:pos="168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any Note not tendered or accepted for payment will continue to accrue interest;</w:t>
      </w:r>
    </w:p>
    <w:p>
      <w:pPr>
        <w:spacing w:after="0" w:line="179" w:lineRule="exact"/>
        <w:rPr>
          <w:rFonts w:ascii="Times New Roman" w:cs="Times New Roman" w:eastAsia="Times New Roman" w:hAnsi="Times New Roman"/>
          <w:sz w:val="19"/>
          <w:szCs w:val="19"/>
          <w:color w:val="auto"/>
        </w:rPr>
      </w:pPr>
    </w:p>
    <w:p>
      <w:pPr>
        <w:ind w:firstLine="1278"/>
        <w:spacing w:after="0" w:line="270" w:lineRule="auto"/>
        <w:tabs>
          <w:tab w:leader="none" w:pos="172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making such payment, any Note accepted for payment pursuant to the Asset Sale Offer will cease to accrue interest on and after the Purchase Date;</w:t>
      </w:r>
    </w:p>
    <w:p>
      <w:pPr>
        <w:spacing w:after="0" w:line="131" w:lineRule="exact"/>
        <w:rPr>
          <w:rFonts w:ascii="Times New Roman" w:cs="Times New Roman" w:eastAsia="Times New Roman" w:hAnsi="Times New Roman"/>
          <w:sz w:val="19"/>
          <w:szCs w:val="19"/>
          <w:color w:val="auto"/>
        </w:rPr>
      </w:pPr>
    </w:p>
    <w:p>
      <w:pPr>
        <w:ind w:firstLine="1278"/>
        <w:spacing w:after="0" w:line="270" w:lineRule="auto"/>
        <w:tabs>
          <w:tab w:leader="none" w:pos="1763"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electing to have a Note purchased pursuant to an Asset Sale Offer may elect to have Notes purchased in minimum denominations of $2,000 and any integral multiple of $1,000 in excess thereof;</w:t>
      </w:r>
    </w:p>
    <w:p>
      <w:pPr>
        <w:spacing w:after="0" w:line="131"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6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electing to have Notes purchased pursuant to any Asset Sale Offer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36"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2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will be entitled to withdraw their election if the Issuer, the Depositary or the Paying Agent, as the case may be, receives, not later than the expiration of the Offer Period, a telegram,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54" w:lineRule="exact"/>
        <w:rPr>
          <w:rFonts w:ascii="Times New Roman" w:cs="Times New Roman" w:eastAsia="Times New Roman" w:hAnsi="Times New Roman"/>
          <w:sz w:val="19"/>
          <w:szCs w:val="19"/>
          <w:color w:val="auto"/>
        </w:rPr>
      </w:pPr>
    </w:p>
    <w:p>
      <w:pPr>
        <w:jc w:val="both"/>
        <w:ind w:firstLine="1278"/>
        <w:spacing w:after="0"/>
        <w:tabs>
          <w:tab w:leader="none" w:pos="170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if the aggregate principal amount of Notes surrendered by Holders thereof exceeds the Offer Amount allocated to the purchase of Notes in the Asset Sale Offer, the Trustee will select the Notes to be purchased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(except that any Notes represented by a Global Note shall be selected by such method as DTC or its nominee or successor may require or a method that most nearly approximates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selection as the Trustee deems fair and appropriate and is in accordance with DTC’s applicable procedures) based on the principal amount of Notes surrendered (with such adjustments as may be deemed appropriate by the Issuer so that only Notes in minimum denominations of $2,000 and any integral multiple of $1,000 in excess thereof will be purchased; and</w:t>
      </w:r>
    </w:p>
    <w:p>
      <w:pPr>
        <w:spacing w:after="0" w:line="159" w:lineRule="exact"/>
        <w:rPr>
          <w:rFonts w:ascii="Times New Roman" w:cs="Times New Roman" w:eastAsia="Times New Roman" w:hAnsi="Times New Roman"/>
          <w:sz w:val="19"/>
          <w:szCs w:val="19"/>
          <w:color w:val="auto"/>
        </w:rPr>
      </w:pPr>
    </w:p>
    <w:p>
      <w:pPr>
        <w:ind w:firstLine="1278"/>
        <w:spacing w:after="0" w:line="270" w:lineRule="auto"/>
        <w:tabs>
          <w:tab w:leader="none" w:pos="1799"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whose Notes were purchased only in part will be issued new Notes equal in principal amount to the unpurchased portion of the Notes surrendered (or transferred by book-entry transfer).</w:t>
      </w:r>
    </w:p>
    <w:p>
      <w:pPr>
        <w:spacing w:after="0" w:line="116"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 xml:space="preserve">On or before the Purchase Date, the Issuer will, to the extent lawful, accept for payment,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to the extent necessary, the Notes or portions thereof tendered pursuant to the Asset Sale Offer and required to be purchased pursuant to this Section 3.09 and Section 4.10, or if Notes in an aggregate principal amount less than the Offer Amount allocated to the purchase of Notes in the Asset Sale Offer have been tendered, all Notes tendered, and will deliver or cause to be delivered to the Trustee the Notes properly accepted together with an Officers’ Certificate stating that such Notes or portions thereof were accepted for payment by the Issuer in accordance with the terms of this Section 3.09. Notes to be purchased shall, on the Purchase Date, become due and payable at the purchase price and from and after such date (unless the Issuer shall default in the payment of the purchase price) such Notes shall cease to accrue interest. The Issuer, the depositary for the Asset Sale Offer or the Paying Agent, as the case may be, will promptly (but in any case not later than five days after the Purchase Date) mail or deliver to each tendering Holder an amount equal to the purchase price of the Notes tendered by such Holder and accepted by the Issuer for purchase (or, if any Notes are then in global form, it will promptly make such payment thereon through the facilities of DTC),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Asset Sale Offer on the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COVENANTS</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4.01</w:t>
      </w:r>
      <w:r>
        <w:rPr>
          <w:sz w:val="20"/>
          <w:szCs w:val="20"/>
          <w:color w:val="auto"/>
        </w:rPr>
        <w:tab/>
      </w:r>
      <w:r>
        <w:rPr>
          <w:rFonts w:ascii="Times New Roman" w:cs="Times New Roman" w:eastAsia="Times New Roman" w:hAnsi="Times New Roman"/>
          <w:sz w:val="19"/>
          <w:szCs w:val="19"/>
          <w:i w:val="1"/>
          <w:iCs w:val="1"/>
          <w:color w:val="auto"/>
        </w:rPr>
        <w:t>Payment of Notes.</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Issuer will pay or cause to be paid the principal of, premium on, if any, and interest on the Notes on the dates and in the manner provided in the Notes. Principal, premium, if any, and interest will be considered paid on the date due if the Paying Agent, if other than the Issuer or a Subsidiary of the Issuer, holds as of 11:00 a.m., New York City time, on the due date money deposited by the Issuer in immediately available funds and designated for and sufficient to pay all principal, premium, if any, and interest, if any, then due.</w:t>
      </w:r>
    </w:p>
    <w:p>
      <w:pPr>
        <w:spacing w:after="0" w:line="155"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Issuer will pay interest (including post-petition interest in any proceeding under any Bankruptcy Law) on overdue principal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at the same rate to the extent lawful.</w:t>
      </w:r>
    </w:p>
    <w:p>
      <w:pPr>
        <w:spacing w:after="0" w:line="14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Issuer may at any time, for the purpose of obtaining satisfaction and discharge with respect to the Notes or for any other purpose, pay, or direct any Paying Agent to pay, to the Trustee all sums held in trust by the Issuer or such Paying Agent, such sums to be held by the Trustee upon the same terms as those upon which such sums were held by the Issuer or such Paying Agent; and, upon such payment by any Paying Agent to the Trustee, such Paying Agent shall be released from all further liability with respect to such money.</w:t>
      </w:r>
    </w:p>
    <w:p>
      <w:pPr>
        <w:spacing w:after="0" w:line="15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4.02</w:t>
      </w:r>
      <w:r>
        <w:rPr>
          <w:sz w:val="20"/>
          <w:szCs w:val="20"/>
          <w:color w:val="auto"/>
        </w:rPr>
        <w:tab/>
      </w:r>
      <w:r>
        <w:rPr>
          <w:rFonts w:ascii="Times New Roman" w:cs="Times New Roman" w:eastAsia="Times New Roman" w:hAnsi="Times New Roman"/>
          <w:sz w:val="19"/>
          <w:szCs w:val="19"/>
          <w:i w:val="1"/>
          <w:iCs w:val="1"/>
          <w:color w:val="auto"/>
        </w:rPr>
        <w:t>Maintenance of Office or Agency.</w:t>
      </w:r>
    </w:p>
    <w:p>
      <w:pPr>
        <w:spacing w:after="0" w:line="19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The Issuer will maintain, an office or agency (which may be an office of the Trustee or an affiliate of the Trustee)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provided that the Trustee shall not be deemed an agent of the Issuer for service of legal process.</w:t>
      </w:r>
    </w:p>
    <w:p>
      <w:pPr>
        <w:spacing w:after="0" w:line="147"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designation or rescission will in any manner relieve the Issuer of its obligation to maintain an office or agency for such purposes. The Issuer will give prompt written notice to the Trustee of any such designation or rescission and of any change in the location of any such other office or agency.</w:t>
      </w:r>
    </w:p>
    <w:p>
      <w:pPr>
        <w:spacing w:after="0" w:line="155"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Issuer hereby designates the Corporate Trust Office of the Trustee as one such office or agency of the Issuer in accordance with Section 2.03 of this Indenture.</w:t>
      </w:r>
    </w:p>
    <w:p>
      <w:pPr>
        <w:spacing w:after="0" w:line="13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 xml:space="preserve">With respect to any Global Notes, the Corporate Trust Office of the Trustee shall be the office or agency where such Global Notes may be presented or surrendered for payment or for registration of transfer or exchange, or where successor Notes may be delivered in exchange therefor;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any such presentation, surrender or delivery effected pursuant to the Applicable Procedures of the Depositary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be deemed to have been effected at such office or agency in accordance with the provisions of this Indenture.</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4.03</w:t>
      </w:r>
      <w:r>
        <w:rPr>
          <w:sz w:val="20"/>
          <w:szCs w:val="20"/>
          <w:color w:val="auto"/>
        </w:rPr>
        <w:tab/>
      </w:r>
      <w:r>
        <w:rPr>
          <w:rFonts w:ascii="Times New Roman" w:cs="Times New Roman" w:eastAsia="Times New Roman" w:hAnsi="Times New Roman"/>
          <w:sz w:val="19"/>
          <w:szCs w:val="19"/>
          <w:i w:val="1"/>
          <w:iCs w:val="1"/>
          <w:color w:val="auto"/>
        </w:rPr>
        <w:t>Reports.</w:t>
      </w:r>
    </w:p>
    <w:p>
      <w:pPr>
        <w:spacing w:after="0" w:line="194" w:lineRule="exact"/>
        <w:rPr>
          <w:sz w:val="20"/>
          <w:szCs w:val="20"/>
          <w:color w:val="auto"/>
        </w:rPr>
      </w:pPr>
    </w:p>
    <w:p>
      <w:pPr>
        <w:jc w:val="both"/>
        <w:ind w:firstLine="1278"/>
        <w:spacing w:after="0" w:line="251" w:lineRule="auto"/>
        <w:tabs>
          <w:tab w:leader="none" w:pos="174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or not required by the rules and regulations of the SEC, so long as any Notes are outstanding, the Issuer will furnish to the Holders of Notes (or file with the SEC for public availability), within the time periods specified in the SEC’s rules and regulations applicable to a non-accelerated filer, after giving effect to all applicable extensions and cure periods:</w:t>
      </w:r>
    </w:p>
    <w:p>
      <w:pPr>
        <w:spacing w:after="0" w:line="149"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79"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quarterly and annual reports that would be required to be filed with the SEC on Forms 10-Q and 10-K if the Issuer were required to file such reports, including a “Management’s Discussion and Analysis of Financial Condition and Results of Operations” and, with respect to the annual report only, a report on the Issuer’s consolidated financial statements by the Issuer’s certified independent accountants; and</w:t>
      </w:r>
    </w:p>
    <w:p>
      <w:pPr>
        <w:spacing w:after="0" w:line="141" w:lineRule="exact"/>
        <w:rPr>
          <w:rFonts w:ascii="Times New Roman" w:cs="Times New Roman" w:eastAsia="Times New Roman" w:hAnsi="Times New Roman"/>
          <w:sz w:val="19"/>
          <w:szCs w:val="19"/>
          <w:color w:val="auto"/>
        </w:rPr>
      </w:pPr>
    </w:p>
    <w:p>
      <w:pPr>
        <w:ind w:left="2360" w:hanging="446"/>
        <w:spacing w:after="0"/>
        <w:tabs>
          <w:tab w:leader="none" w:pos="236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current reports that would be required to be filed with the SEC on Form 8-K if the Issuer were required to file</w:t>
      </w:r>
    </w:p>
    <w:p>
      <w:pPr>
        <w:spacing w:after="0" w:line="1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reports.</w:t>
      </w:r>
    </w:p>
    <w:p>
      <w:pPr>
        <w:spacing w:after="0" w:line="170" w:lineRule="exact"/>
        <w:rPr>
          <w:sz w:val="20"/>
          <w:szCs w:val="20"/>
          <w:color w:val="auto"/>
        </w:rPr>
      </w:pPr>
    </w:p>
    <w:p>
      <w:pPr>
        <w:ind w:right="20" w:firstLine="636"/>
        <w:spacing w:after="0" w:line="270" w:lineRule="auto"/>
        <w:rPr>
          <w:sz w:val="20"/>
          <w:szCs w:val="20"/>
          <w:color w:val="auto"/>
        </w:rPr>
      </w:pPr>
      <w:r>
        <w:rPr>
          <w:rFonts w:ascii="Times New Roman" w:cs="Times New Roman" w:eastAsia="Times New Roman" w:hAnsi="Times New Roman"/>
          <w:sz w:val="19"/>
          <w:szCs w:val="19"/>
          <w:color w:val="auto"/>
        </w:rPr>
        <w:t>The availability of the foregoing reports on the SEC’s EDGAR filing system will be deemed to satisfy the foregoing delivery requirements.</w:t>
      </w:r>
    </w:p>
    <w:p>
      <w:pPr>
        <w:spacing w:after="0" w:line="131" w:lineRule="exact"/>
        <w:rPr>
          <w:sz w:val="20"/>
          <w:szCs w:val="20"/>
          <w:color w:val="auto"/>
        </w:rPr>
      </w:pPr>
    </w:p>
    <w:p>
      <w:pPr>
        <w:jc w:val="both"/>
        <w:ind w:firstLine="1278"/>
        <w:spacing w:after="0"/>
        <w:tabs>
          <w:tab w:leader="none" w:pos="173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has designated as an Unrestricted Subsidiary any of its Subsidiaries that is a Significant Subsidiary (or that, taken together with other Unrestricted Subsidiaries, would be a Significant Subsidiary), then the quarterly and annual financial information required by Section 4.03(a) will include, to the extent material,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separate from the financial condition and results of operations of the Unrestricted Subsidiaries of the Issuer.</w:t>
      </w:r>
    </w:p>
    <w:p>
      <w:pPr>
        <w:spacing w:after="0" w:line="146" w:lineRule="exact"/>
        <w:rPr>
          <w:rFonts w:ascii="Times New Roman" w:cs="Times New Roman" w:eastAsia="Times New Roman" w:hAnsi="Times New Roman"/>
          <w:sz w:val="19"/>
          <w:szCs w:val="19"/>
          <w:color w:val="auto"/>
        </w:rPr>
      </w:pPr>
    </w:p>
    <w:p>
      <w:pPr>
        <w:jc w:val="both"/>
        <w:ind w:firstLine="1278"/>
        <w:spacing w:after="0" w:line="242" w:lineRule="auto"/>
        <w:tabs>
          <w:tab w:leader="none" w:pos="175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any direct or indirect parent company of the Issuer becomes a guarantor of the Notes, the Issuer may satisfy its obligations under this Section 4.03 with respect to financial and other information relating to the Issuer by furnishing corresponding information relating to such parent company;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same includes a reasonable summary of the differences between the information relating to such parent, on the one hand, and the information relating to the Issuer and its Restricted Subsidiaries on a standalone basis, on the other hand.</w:t>
      </w:r>
    </w:p>
    <w:p>
      <w:pPr>
        <w:spacing w:after="0" w:line="377" w:lineRule="exact"/>
        <w:rPr>
          <w:rFonts w:ascii="Times New Roman" w:cs="Times New Roman" w:eastAsia="Times New Roman" w:hAnsi="Times New Roman"/>
          <w:sz w:val="19"/>
          <w:szCs w:val="19"/>
          <w:color w:val="auto"/>
        </w:rPr>
      </w:pPr>
    </w:p>
    <w:p>
      <w:pPr>
        <w:jc w:val="both"/>
        <w:ind w:firstLine="1278"/>
        <w:spacing w:after="0"/>
        <w:tabs>
          <w:tab w:leader="none" w:pos="1825"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and all Defaults or Events of Default arising from a failure to furnish or file in a timely manner a report or information required by this Section 4.03 shall be deemed cured (and the Issuer shall be deemed to be in compliance with this Section 4.03) upon furnishing or filing such report or information as contemplated by this Section 4.03 (but without regard to the date on which such report or information is so furnished or filed);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cure shall not otherwise affect the rights of the Holders under Article 6 if the principal, premium, if any, and interest have been accelerated in accordance with the terms of this Indenture and such acceleration has not been rescinded or cancelled prior to such cure.</w:t>
      </w:r>
    </w:p>
    <w:p>
      <w:pPr>
        <w:spacing w:after="0" w:line="15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33"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so long as any Notes remain outstanding, the Issuer will furnish to the Holders and Beneficial Owners of the Notes and to securities analysts and prospective investors in the Notes, upon their request, the information required to be delivered pursuant to Rule 144A(d)(4)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8" w:lineRule="exact"/>
        <w:rPr>
          <w:sz w:val="20"/>
          <w:szCs w:val="20"/>
          <w:color w:val="auto"/>
        </w:rPr>
      </w:pPr>
    </w:p>
    <w:p>
      <w:pPr>
        <w:jc w:val="both"/>
        <w:ind w:firstLine="1278"/>
        <w:spacing w:after="0"/>
        <w:tabs>
          <w:tab w:leader="none" w:pos="1671"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4.03 does not impose any duty on the Issuer under the Sarbanes Oxley Act of 2002 and the related SEC rules that would not otherwise be applicable. The Issuer will be deemed to have furnished to the Holders and Beneficial Owners of the Notes and to securities analysts and prospective investors the reports referred to in clauses (1) and (2) of Section 4.03(a) or the information referred to in Section 4.03(e) if the Issuer has posted such reports or information on the Issuer Website. For purposes of this Section 4.03, the term “Issuer Website” means the collection of web pages that may be accessed on the World Wide Web using the URL address http://www.crc.com or such other address as the Issuer may from time to time maintain for public information.</w:t>
      </w:r>
    </w:p>
    <w:p>
      <w:pPr>
        <w:spacing w:after="0" w:line="146" w:lineRule="exact"/>
        <w:rPr>
          <w:rFonts w:ascii="Times New Roman" w:cs="Times New Roman" w:eastAsia="Times New Roman" w:hAnsi="Times New Roman"/>
          <w:sz w:val="19"/>
          <w:szCs w:val="19"/>
          <w:color w:val="auto"/>
        </w:rPr>
      </w:pPr>
    </w:p>
    <w:p>
      <w:pPr>
        <w:jc w:val="both"/>
        <w:ind w:firstLine="1278"/>
        <w:spacing w:after="0"/>
        <w:tabs>
          <w:tab w:leader="none" w:pos="1733"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certificates). The Trustee’s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37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4.04</w:t>
      </w:r>
      <w:r>
        <w:rPr>
          <w:sz w:val="20"/>
          <w:szCs w:val="20"/>
          <w:color w:val="auto"/>
        </w:rPr>
        <w:tab/>
      </w:r>
      <w:r>
        <w:rPr>
          <w:rFonts w:ascii="Times New Roman" w:cs="Times New Roman" w:eastAsia="Times New Roman" w:hAnsi="Times New Roman"/>
          <w:sz w:val="19"/>
          <w:szCs w:val="19"/>
          <w:i w:val="1"/>
          <w:iCs w:val="1"/>
          <w:color w:val="auto"/>
        </w:rPr>
        <w:t>Compliance Certificate.</w:t>
      </w:r>
    </w:p>
    <w:p>
      <w:pPr>
        <w:spacing w:after="0" w:line="194" w:lineRule="exact"/>
        <w:rPr>
          <w:sz w:val="20"/>
          <w:szCs w:val="20"/>
          <w:color w:val="auto"/>
        </w:rPr>
      </w:pPr>
    </w:p>
    <w:p>
      <w:pPr>
        <w:jc w:val="both"/>
        <w:ind w:firstLine="1278"/>
        <w:spacing w:after="0" w:line="238" w:lineRule="auto"/>
        <w:tabs>
          <w:tab w:leader="none" w:pos="174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deliver to the Trustee, within 120 days after the end of each fiscal year, beginning with the fiscal year ending December 31, 2021,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w:t>
      </w:r>
    </w:p>
    <w:p>
      <w:pPr>
        <w:spacing w:after="0" w:line="148"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4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any of the Notes are outstanding, upon any Officer of the Issuer becoming aware of any Default or Event of Default, the Issuer shall deliver to the Trustee a written statement specifying such Default or Event of Default and what action the Issuer is taking or proposes to take with respect thereto within 30 days after such Officer becomes aware of the occurrence and continuance of such Event of Default, unless such Default or Event of Default has been cured before the end of the 30-day period.</w:t>
      </w:r>
    </w:p>
    <w:p>
      <w:pPr>
        <w:spacing w:after="0" w:line="15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4.05</w:t>
      </w:r>
      <w:r>
        <w:rPr>
          <w:sz w:val="20"/>
          <w:szCs w:val="20"/>
          <w:color w:val="auto"/>
        </w:rPr>
        <w:tab/>
      </w:r>
      <w:r>
        <w:rPr>
          <w:rFonts w:ascii="Times New Roman" w:cs="Times New Roman" w:eastAsia="Times New Roman" w:hAnsi="Times New Roman"/>
          <w:sz w:val="19"/>
          <w:szCs w:val="19"/>
          <w:i w:val="1"/>
          <w:iCs w:val="1"/>
          <w:color w:val="auto"/>
        </w:rPr>
        <w:t>Taxes.</w:t>
      </w:r>
    </w:p>
    <w:p>
      <w:pPr>
        <w:spacing w:after="0" w:line="19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Issuer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3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4.06</w:t>
      </w:r>
      <w:r>
        <w:rPr>
          <w:sz w:val="20"/>
          <w:szCs w:val="20"/>
          <w:color w:val="auto"/>
        </w:rPr>
        <w:tab/>
      </w:r>
      <w:r>
        <w:rPr>
          <w:rFonts w:ascii="Times New Roman" w:cs="Times New Roman" w:eastAsia="Times New Roman" w:hAnsi="Times New Roman"/>
          <w:sz w:val="19"/>
          <w:szCs w:val="19"/>
          <w:i w:val="1"/>
          <w:iCs w:val="1"/>
          <w:color w:val="auto"/>
        </w:rPr>
        <w:t>Stay, Extension and Usury Laws.</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that it will not, by resort to any such law, hinder, delay or impede the execution of any power herein granted to the Trustee, but will suffer and permit the execution of every such power as though no such law has been enacted.</w:t>
      </w:r>
    </w:p>
    <w:p>
      <w:pPr>
        <w:spacing w:after="0" w:line="11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4.07</w:t>
      </w:r>
      <w:r>
        <w:rPr>
          <w:sz w:val="20"/>
          <w:szCs w:val="20"/>
          <w:color w:val="auto"/>
        </w:rPr>
        <w:tab/>
      </w:r>
      <w:r>
        <w:rPr>
          <w:rFonts w:ascii="Times New Roman" w:cs="Times New Roman" w:eastAsia="Times New Roman" w:hAnsi="Times New Roman"/>
          <w:sz w:val="19"/>
          <w:szCs w:val="19"/>
          <w:i w:val="1"/>
          <w:iCs w:val="1"/>
          <w:color w:val="auto"/>
        </w:rPr>
        <w:t>Restricted Payments.</w:t>
      </w:r>
    </w:p>
    <w:p>
      <w:pPr>
        <w:spacing w:after="0" w:line="194" w:lineRule="exact"/>
        <w:rPr>
          <w:sz w:val="20"/>
          <w:szCs w:val="20"/>
          <w:color w:val="auto"/>
        </w:rPr>
      </w:pPr>
    </w:p>
    <w:p>
      <w:pPr>
        <w:ind w:left="1680" w:hanging="402"/>
        <w:spacing w:after="0"/>
        <w:tabs>
          <w:tab w:leader="none" w:pos="168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will not, and will not permit any of its Restricted Subsidiaries to, directly or indirectly:</w:t>
      </w:r>
    </w:p>
    <w:p>
      <w:pPr>
        <w:spacing w:after="0" w:line="192"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399"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dividends or distributions payable in Equity Interests (other than Disqualified Stock) of the Issuer and other than dividends or distributions payable to the Issuer or a Restricted Subsidiary of the Issuer);</w:t>
      </w:r>
    </w:p>
    <w:p>
      <w:pPr>
        <w:spacing w:after="0" w:line="144"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61"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redeem or otherwise acquire or retire for value (including, without limitation, in connection with any merger or consolidation involving the Issuer) any Equity Interests of the Issuer or any direct or indirect parent of the Issuer other than through the exchange therefor solely of Equity Interests (other than Disqualified Stock) of the Issuer and other than any acquisition or retirement for value from, or payment to, the Issuer or any Restricted Subsidiary of the Issuer;</w:t>
      </w:r>
    </w:p>
    <w:p>
      <w:pPr>
        <w:spacing w:after="0" w:line="154" w:lineRule="exact"/>
        <w:rPr>
          <w:rFonts w:ascii="Times New Roman" w:cs="Times New Roman" w:eastAsia="Times New Roman" w:hAnsi="Times New Roman"/>
          <w:sz w:val="19"/>
          <w:szCs w:val="19"/>
          <w:color w:val="auto"/>
        </w:rPr>
      </w:pPr>
    </w:p>
    <w:p>
      <w:pPr>
        <w:jc w:val="both"/>
        <w:ind w:left="640" w:firstLine="1274"/>
        <w:spacing w:after="0"/>
        <w:tabs>
          <w:tab w:leader="none" w:pos="2378"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payment on or with respect to, or repurchase, redeem, defease or otherwise acquire or retire for value any Indebtedness of the Issuer or any Guarantor that is contractually subordinated in right of payment to the Notes or to any Guarantee (excluding (a) any intercompany Indebtedness between or among the Issuer and any of its Restricted Subsidiaries and (b) the repurchase or other acquisition or retirement for value of any such Indebtedness in anticipation of satisfying a sinking fund or other payment obligation due within one year of the date of such repurchase or other acquisition or retirement for value), except a payment of interest or principal at the Stated Maturity thereof; or</w:t>
      </w:r>
    </w:p>
    <w:p>
      <w:pPr>
        <w:spacing w:after="0" w:line="159" w:lineRule="exact"/>
        <w:rPr>
          <w:rFonts w:ascii="Times New Roman" w:cs="Times New Roman" w:eastAsia="Times New Roman" w:hAnsi="Times New Roman"/>
          <w:sz w:val="19"/>
          <w:szCs w:val="19"/>
          <w:color w:val="auto"/>
        </w:rPr>
      </w:pPr>
    </w:p>
    <w:p>
      <w:pPr>
        <w:ind w:left="640" w:firstLine="1274"/>
        <w:spacing w:after="0" w:line="270" w:lineRule="auto"/>
        <w:tabs>
          <w:tab w:leader="none" w:pos="2383"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Restricted Investment (all such payments and other actions set forth in clauses (1) through (4) of this Section 4.07(a), being collectively referred to as “</w:t>
      </w:r>
      <w:r>
        <w:rPr>
          <w:rFonts w:ascii="Times New Roman" w:cs="Times New Roman" w:eastAsia="Times New Roman" w:hAnsi="Times New Roman"/>
          <w:sz w:val="19"/>
          <w:szCs w:val="19"/>
          <w:i w:val="1"/>
          <w:iCs w:val="1"/>
          <w:color w:val="auto"/>
        </w:rPr>
        <w:t>Restricted Payments</w:t>
      </w:r>
      <w:r>
        <w:rPr>
          <w:rFonts w:ascii="Times New Roman" w:cs="Times New Roman" w:eastAsia="Times New Roman" w:hAnsi="Times New Roman"/>
          <w:sz w:val="19"/>
          <w:szCs w:val="19"/>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unless, at the time of and after giving effect to such Restricted Payment,</w:t>
      </w:r>
    </w:p>
    <w:p>
      <w:pPr>
        <w:spacing w:after="0" w:line="192" w:lineRule="exact"/>
        <w:rPr>
          <w:sz w:val="20"/>
          <w:szCs w:val="20"/>
          <w:color w:val="auto"/>
        </w:rPr>
      </w:pPr>
    </w:p>
    <w:p>
      <w:pPr>
        <w:ind w:left="3060" w:hanging="510"/>
        <w:spacing w:after="0"/>
        <w:tabs>
          <w:tab w:leader="none" w:pos="306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or would occur as a consequence of such</w:t>
      </w:r>
    </w:p>
    <w:p>
      <w:pPr>
        <w:spacing w:after="0" w:line="15" w:lineRule="exact"/>
        <w:rPr>
          <w:rFonts w:ascii="Times New Roman" w:cs="Times New Roman" w:eastAsia="Times New Roman" w:hAnsi="Times New Roman"/>
          <w:sz w:val="19"/>
          <w:szCs w:val="19"/>
          <w:color w:val="auto"/>
        </w:rPr>
      </w:pP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w:t>
      </w:r>
    </w:p>
    <w:p>
      <w:pPr>
        <w:spacing w:after="0" w:line="170" w:lineRule="exact"/>
        <w:rPr>
          <w:rFonts w:ascii="Times New Roman" w:cs="Times New Roman" w:eastAsia="Times New Roman" w:hAnsi="Times New Roman"/>
          <w:sz w:val="19"/>
          <w:szCs w:val="19"/>
          <w:color w:val="auto"/>
        </w:rPr>
      </w:pPr>
    </w:p>
    <w:p>
      <w:pPr>
        <w:jc w:val="both"/>
        <w:ind w:left="1280" w:firstLine="1270"/>
        <w:spacing w:after="0" w:line="251" w:lineRule="auto"/>
        <w:tabs>
          <w:tab w:leader="none" w:pos="306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136" w:lineRule="exact"/>
        <w:rPr>
          <w:rFonts w:ascii="Times New Roman" w:cs="Times New Roman" w:eastAsia="Times New Roman" w:hAnsi="Times New Roman"/>
          <w:sz w:val="19"/>
          <w:szCs w:val="19"/>
          <w:color w:val="auto"/>
        </w:rPr>
      </w:pPr>
    </w:p>
    <w:p>
      <w:pPr>
        <w:jc w:val="both"/>
        <w:ind w:left="1280" w:firstLine="1270"/>
        <w:spacing w:after="0" w:line="251" w:lineRule="auto"/>
        <w:tabs>
          <w:tab w:leader="none" w:pos="3052"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Restricted Payment, together with the aggregate amount of all other Restricted Payments made by the Issuer and its Restricted Subsidiaries since the Issue Date (excluding Restricted Payments permitted by clauses (1) (with respect to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8" w:lineRule="exact"/>
        <w:rPr>
          <w:sz w:val="20"/>
          <w:szCs w:val="20"/>
          <w:color w:val="auto"/>
        </w:rPr>
      </w:pPr>
    </w:p>
    <w:p>
      <w:pPr>
        <w:ind w:left="160"/>
        <w:spacing w:after="0" w:line="270" w:lineRule="auto"/>
        <w:rPr>
          <w:sz w:val="20"/>
          <w:szCs w:val="20"/>
          <w:color w:val="auto"/>
        </w:rPr>
      </w:pPr>
      <w:r>
        <w:rPr>
          <w:rFonts w:ascii="Times New Roman" w:cs="Times New Roman" w:eastAsia="Times New Roman" w:hAnsi="Times New Roman"/>
          <w:sz w:val="19"/>
          <w:szCs w:val="19"/>
          <w:color w:val="auto"/>
        </w:rPr>
        <w:t>Restricted Payment made under clauses (2) through (12) of Section 4.07(b)) or clauses (2) through (12) of Section 4.07(b)), is less than the sum, without duplication, of:</w:t>
      </w:r>
    </w:p>
    <w:p>
      <w:pPr>
        <w:spacing w:after="0" w:line="118" w:lineRule="exact"/>
        <w:rPr>
          <w:sz w:val="20"/>
          <w:szCs w:val="20"/>
          <w:color w:val="auto"/>
        </w:rPr>
      </w:pPr>
    </w:p>
    <w:p>
      <w:pPr>
        <w:ind w:left="800" w:right="100" w:firstLine="1266"/>
        <w:spacing w:after="0" w:line="245" w:lineRule="auto"/>
        <w:tabs>
          <w:tab w:leader="none" w:pos="244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50% of the Consolidated Net Income of the Issuer for the period (taken as one accounting period) from January 1, 2021 to the end of the Issuer’s most recently ended fiscal quarter for which internal financial statements are available at the time of such Restricted Payment (or, if such Consolidated Net Income for such period is a deficit, less 100% of such deficit); </w:t>
      </w:r>
      <w:r>
        <w:rPr>
          <w:rFonts w:ascii="Times New Roman" w:cs="Times New Roman" w:eastAsia="Times New Roman" w:hAnsi="Times New Roman"/>
          <w:sz w:val="19"/>
          <w:szCs w:val="19"/>
          <w:i w:val="1"/>
          <w:iCs w:val="1"/>
          <w:color w:val="auto"/>
        </w:rPr>
        <w:t>plus</w:t>
      </w:r>
    </w:p>
    <w:p>
      <w:pPr>
        <w:spacing w:after="0" w:line="154" w:lineRule="exact"/>
        <w:rPr>
          <w:rFonts w:ascii="Times New Roman" w:cs="Times New Roman" w:eastAsia="Times New Roman" w:hAnsi="Times New Roman"/>
          <w:sz w:val="19"/>
          <w:szCs w:val="19"/>
          <w:color w:val="auto"/>
        </w:rPr>
      </w:pPr>
    </w:p>
    <w:p>
      <w:pPr>
        <w:jc w:val="both"/>
        <w:ind w:left="800" w:firstLine="1266"/>
        <w:spacing w:after="0" w:line="236" w:lineRule="auto"/>
        <w:tabs>
          <w:tab w:leader="none" w:pos="260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100% of the aggregate net cash proceeds and the Fair Market Value of any Capital Stock of Persons engaged primarily in the Oil and Gas Business or any other assets that are used or useful in the Oil and Gas Business other than cash, in each case received by the Issuer since the Issue Date as a contribution to its common equity capital or from the issue or sale of Equity Interests of the Issuer (other than Disqualified Stock) or received by the Issuer from the issue or sale of convertible or exchangeable Disqualified Stock or convertible or exchangeable debt securities of the Issuer that have been converted into or exchanged for such Equity Interests since the Issue Date or from the issue or sale of options, warrants or rights to purchase such Equity Interests that have been exercised for such Equity Interests since the Issue Date (other than, in either case, Equity Interests (or Disqualified Stock or debt securities) sold to a Restricted Subsidiary of the Issuer or to an employee stock ownership plan, option plan or similar trust to the extent such sale to an employee stock ownership plan, option plan or similar trust is financed by loans from or guaranteed by the Issuer or any Restricted Subsidiary (unless such loans have been repaid with cash on or prior to the date of determination)); </w:t>
      </w:r>
      <w:r>
        <w:rPr>
          <w:rFonts w:ascii="Times New Roman" w:cs="Times New Roman" w:eastAsia="Times New Roman" w:hAnsi="Times New Roman"/>
          <w:sz w:val="19"/>
          <w:szCs w:val="19"/>
          <w:i w:val="1"/>
          <w:iCs w:val="1"/>
          <w:color w:val="auto"/>
        </w:rPr>
        <w:t>plus</w:t>
      </w:r>
    </w:p>
    <w:p>
      <w:pPr>
        <w:spacing w:after="0" w:line="164" w:lineRule="exact"/>
        <w:rPr>
          <w:rFonts w:ascii="Times New Roman" w:cs="Times New Roman" w:eastAsia="Times New Roman" w:hAnsi="Times New Roman"/>
          <w:sz w:val="19"/>
          <w:szCs w:val="19"/>
          <w:color w:val="auto"/>
        </w:rPr>
      </w:pPr>
    </w:p>
    <w:p>
      <w:pPr>
        <w:jc w:val="both"/>
        <w:ind w:left="800" w:firstLine="1266"/>
        <w:spacing w:after="0"/>
        <w:tabs>
          <w:tab w:leader="none" w:pos="2585"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not already included in Consolidated Net Income for such period, if any Restricted Investment that was made by the Issuer or any of its Restricted Subsidiaries after the Issue Date is sold (other than to the Issuer or any Restricted Subsidiary of the Issuer) or otherwise cancelled, liquidated or repaid, 100% of the aggregate cash, and the Fair Market Value of any property other than cash, constituting the return of capital to the Issuer or any of its Restricted Subsidiaries with respect to such Restricted Investment resulting from such sale, cancellation, liquidation or repayment (less any out-of-pocket costs incurred in connection with any such sale); </w:t>
      </w:r>
      <w:r>
        <w:rPr>
          <w:rFonts w:ascii="Times New Roman" w:cs="Times New Roman" w:eastAsia="Times New Roman" w:hAnsi="Times New Roman"/>
          <w:sz w:val="19"/>
          <w:szCs w:val="19"/>
          <w:i w:val="1"/>
          <w:iCs w:val="1"/>
          <w:color w:val="auto"/>
        </w:rPr>
        <w:t>plus</w:t>
      </w:r>
    </w:p>
    <w:p>
      <w:pPr>
        <w:spacing w:after="0" w:line="146" w:lineRule="exact"/>
        <w:rPr>
          <w:rFonts w:ascii="Times New Roman" w:cs="Times New Roman" w:eastAsia="Times New Roman" w:hAnsi="Times New Roman"/>
          <w:sz w:val="19"/>
          <w:szCs w:val="19"/>
          <w:color w:val="auto"/>
        </w:rPr>
      </w:pPr>
    </w:p>
    <w:p>
      <w:pPr>
        <w:jc w:val="both"/>
        <w:ind w:left="800" w:firstLine="1266"/>
        <w:spacing w:after="0" w:line="238" w:lineRule="auto"/>
        <w:tabs>
          <w:tab w:leader="none" w:pos="259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by which Indebtedness of the Issuer or its Restricted Subsidiaries is reduced on the Issuer’s balance sheet upon the conversion or exchange (other than by a Restricted Subsidiary of the Issuer) subsequent to the Issue Date of any such Indebtedness of the Issuer or its Restricted Subsidiaries convertible or exchangeable for Equity Interests (other than Disqualified Stock) of the Issuer (less the amount of any cash, or the Fair Market Value of any other property (other than such Equity Interests), distributed by the Issuer upon such conversion or exchange and excluding the net cash proceeds from the conversion or exchange financed, directly or indirectly, using funds borrowed from the Issuer or any Restricted Subsidiary), together with the net proceeds, if any, received by the Issuer or any of its Restricted Subsidiaries upon such conversion or exchange; </w:t>
      </w:r>
      <w:r>
        <w:rPr>
          <w:rFonts w:ascii="Times New Roman" w:cs="Times New Roman" w:eastAsia="Times New Roman" w:hAnsi="Times New Roman"/>
          <w:sz w:val="19"/>
          <w:szCs w:val="19"/>
          <w:i w:val="1"/>
          <w:iCs w:val="1"/>
          <w:color w:val="auto"/>
        </w:rPr>
        <w:t>plus</w:t>
      </w:r>
    </w:p>
    <w:p>
      <w:pPr>
        <w:spacing w:after="0" w:line="161" w:lineRule="exact"/>
        <w:rPr>
          <w:rFonts w:ascii="Times New Roman" w:cs="Times New Roman" w:eastAsia="Times New Roman" w:hAnsi="Times New Roman"/>
          <w:sz w:val="19"/>
          <w:szCs w:val="19"/>
          <w:color w:val="auto"/>
        </w:rPr>
      </w:pPr>
    </w:p>
    <w:p>
      <w:pPr>
        <w:ind w:left="2480" w:hanging="414"/>
        <w:spacing w:after="0"/>
        <w:tabs>
          <w:tab w:leader="none" w:pos="24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Unrestricted Subsidiary of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10120"/>
          </w:cols>
          <w:pgMar w:left="1440" w:top="1440" w:right="339" w:bottom="1440" w:gutter="0" w:footer="0" w:header="0"/>
        </w:sectPr>
      </w:pPr>
    </w:p>
    <w:bookmarkStart w:id="76" w:name="page77"/>
    <w:bookmarkEnd w:id="76"/>
    <w:p>
      <w:pPr>
        <w:spacing w:after="0" w:line="148" w:lineRule="exact"/>
        <w:rPr>
          <w:sz w:val="20"/>
          <w:szCs w:val="20"/>
          <w:color w:val="auto"/>
        </w:rPr>
      </w:pPr>
    </w:p>
    <w:p>
      <w:pPr>
        <w:jc w:val="both"/>
        <w:ind w:left="1278"/>
        <w:spacing w:after="0" w:line="239" w:lineRule="auto"/>
        <w:rPr>
          <w:sz w:val="20"/>
          <w:szCs w:val="20"/>
          <w:color w:val="auto"/>
        </w:rPr>
      </w:pPr>
      <w:r>
        <w:rPr>
          <w:rFonts w:ascii="Times New Roman" w:cs="Times New Roman" w:eastAsia="Times New Roman" w:hAnsi="Times New Roman"/>
          <w:sz w:val="19"/>
          <w:szCs w:val="19"/>
          <w:color w:val="auto"/>
        </w:rPr>
        <w:t xml:space="preserve">Issuer designated as such after the Issue Date is redesignated as a Restricted Subsidiary pursuant to the terms of this Indenture or is merged or consolidated with or into, or transfers or otherwise disposes of all of substantially all of its properties or assets to or is liquidated into, the Issuer or a Restricted Subsidiary after the Issue Date, the lesser of, as of the date of such redesignation, merger, consolidation, transfer, disposition or liquidation, (A) the Fair Market Value of the Issuer’s Restricted Investment in such Subsidiary (or of the properties or assets disposed of, as applicable) as of the date of such redesignation, merger, consolidation, transfer, disposition or liquidation and (B) such Fair Market Value as of the date on which such Subsidiary was originally designated as an Unrestricted Subsidiary after the Issue Date; </w:t>
      </w:r>
      <w:r>
        <w:rPr>
          <w:rFonts w:ascii="Times New Roman" w:cs="Times New Roman" w:eastAsia="Times New Roman" w:hAnsi="Times New Roman"/>
          <w:sz w:val="19"/>
          <w:szCs w:val="19"/>
          <w:i w:val="1"/>
          <w:iCs w:val="1"/>
          <w:color w:val="auto"/>
        </w:rPr>
        <w:t>plus</w:t>
      </w:r>
    </w:p>
    <w:p>
      <w:pPr>
        <w:spacing w:after="0" w:line="147" w:lineRule="exact"/>
        <w:rPr>
          <w:sz w:val="20"/>
          <w:szCs w:val="20"/>
          <w:color w:val="auto"/>
        </w:rPr>
      </w:pPr>
    </w:p>
    <w:p>
      <w:pPr>
        <w:jc w:val="both"/>
        <w:ind w:left="1278" w:firstLine="1266"/>
        <w:spacing w:after="0" w:line="242" w:lineRule="auto"/>
        <w:tabs>
          <w:tab w:leader="none" w:pos="3157" w:val="left"/>
        </w:tabs>
        <w:numPr>
          <w:ilvl w:val="3"/>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equal to the net reduction in Restricted Investments made since the Issue Date resulting from dividends, distributions, redemptions or repurchases, proceeds of sales or other dispositions thereof, interest payments, repayments of loans or advances, releases of guarantees or other transfers of assets (including transfers as a result of a merger or liquidation), in each case to the Issuer or any of its Restricted Subsidiaries from any Person (including, without limitation, Unrestricted Subsidiaries) in respect of Restricted Investments; </w:t>
      </w:r>
      <w:r>
        <w:rPr>
          <w:rFonts w:ascii="Times New Roman" w:cs="Times New Roman" w:eastAsia="Times New Roman" w:hAnsi="Times New Roman"/>
          <w:sz w:val="19"/>
          <w:szCs w:val="19"/>
          <w:i w:val="1"/>
          <w:iCs w:val="1"/>
          <w:color w:val="auto"/>
        </w:rPr>
        <w:t>plus</w:t>
      </w:r>
    </w:p>
    <w:p>
      <w:pPr>
        <w:spacing w:after="0" w:line="157" w:lineRule="exact"/>
        <w:rPr>
          <w:rFonts w:ascii="Times New Roman" w:cs="Times New Roman" w:eastAsia="Times New Roman" w:hAnsi="Times New Roman"/>
          <w:sz w:val="19"/>
          <w:szCs w:val="19"/>
          <w:color w:val="auto"/>
        </w:rPr>
      </w:pPr>
    </w:p>
    <w:p>
      <w:pPr>
        <w:jc w:val="both"/>
        <w:ind w:left="1278" w:firstLine="1266"/>
        <w:spacing w:after="0" w:line="251" w:lineRule="auto"/>
        <w:tabs>
          <w:tab w:leader="none" w:pos="3117" w:val="left"/>
        </w:tabs>
        <w:numPr>
          <w:ilvl w:val="3"/>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included in clause (vi), any dividends received in cash by the Issuer or any of its Restricted Subsidiaries since the Issue Date from an Unrestricted Subsidiary, to the extent such dividends were not otherwise included in the Consolidated Net Income of the Issuer for such period.</w:t>
      </w:r>
    </w:p>
    <w:p>
      <w:pPr>
        <w:spacing w:after="0" w:line="149" w:lineRule="exact"/>
        <w:rPr>
          <w:rFonts w:ascii="Times New Roman" w:cs="Times New Roman" w:eastAsia="Times New Roman" w:hAnsi="Times New Roman"/>
          <w:sz w:val="19"/>
          <w:szCs w:val="19"/>
          <w:color w:val="auto"/>
        </w:rPr>
      </w:pPr>
    </w:p>
    <w:p>
      <w:pPr>
        <w:ind w:left="1058" w:hanging="422"/>
        <w:spacing w:after="0"/>
        <w:tabs>
          <w:tab w:leader="none" w:pos="1058"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Section 4.07(a) will not prohibit any of the following actions:</w:t>
      </w:r>
    </w:p>
    <w:p>
      <w:pPr>
        <w:spacing w:after="0" w:line="179" w:lineRule="exact"/>
        <w:rPr>
          <w:rFonts w:ascii="Times New Roman" w:cs="Times New Roman" w:eastAsia="Times New Roman" w:hAnsi="Times New Roman"/>
          <w:sz w:val="19"/>
          <w:szCs w:val="19"/>
          <w:color w:val="auto"/>
        </w:rPr>
      </w:pPr>
    </w:p>
    <w:p>
      <w:pPr>
        <w:jc w:val="both"/>
        <w:ind w:left="-2" w:firstLine="1274"/>
        <w:spacing w:after="0" w:line="251" w:lineRule="auto"/>
        <w:tabs>
          <w:tab w:leader="none" w:pos="1715"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149" w:lineRule="exact"/>
        <w:rPr>
          <w:rFonts w:ascii="Times New Roman" w:cs="Times New Roman" w:eastAsia="Times New Roman" w:hAnsi="Times New Roman"/>
          <w:sz w:val="19"/>
          <w:szCs w:val="19"/>
          <w:color w:val="auto"/>
        </w:rPr>
      </w:pPr>
    </w:p>
    <w:p>
      <w:pPr>
        <w:jc w:val="both"/>
        <w:ind w:left="-2" w:firstLine="1274"/>
        <w:spacing w:after="0" w:line="238" w:lineRule="auto"/>
        <w:tabs>
          <w:tab w:leader="none" w:pos="1704"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making of any Restricted Payment in exchange for, or out of or with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amount of any such net cash proceeds that are utilized for any such Restricted Payment will not be considered to be net proceeds of Equity Interests for purposes of clause (C)</w:t>
      </w:r>
    </w:p>
    <w:p>
      <w:pPr>
        <w:spacing w:after="0" w:line="3" w:lineRule="exact"/>
        <w:rPr>
          <w:rFonts w:ascii="Times New Roman" w:cs="Times New Roman" w:eastAsia="Times New Roman" w:hAnsi="Times New Roman"/>
          <w:sz w:val="19"/>
          <w:szCs w:val="19"/>
          <w:color w:val="auto"/>
        </w:rPr>
      </w:pPr>
    </w:p>
    <w:p>
      <w:pPr>
        <w:ind w:left="278" w:hanging="278"/>
        <w:spacing w:after="0"/>
        <w:tabs>
          <w:tab w:leader="none" w:pos="278"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Section 4.07(a) above and will not be considered to be net cash proceeds from an Equity Offering for purposes of Section 3.07;</w:t>
      </w:r>
    </w:p>
    <w:p>
      <w:pPr>
        <w:spacing w:after="0" w:line="170" w:lineRule="exact"/>
        <w:rPr>
          <w:rFonts w:ascii="Times New Roman" w:cs="Times New Roman" w:eastAsia="Times New Roman" w:hAnsi="Times New Roman"/>
          <w:sz w:val="19"/>
          <w:szCs w:val="19"/>
          <w:color w:val="auto"/>
        </w:rPr>
      </w:pPr>
    </w:p>
    <w:p>
      <w:pPr>
        <w:jc w:val="both"/>
        <w:ind w:left="-2" w:firstLine="1274"/>
        <w:spacing w:after="0" w:line="251" w:lineRule="auto"/>
        <w:tabs>
          <w:tab w:leader="none" w:pos="1855" w:val="left"/>
        </w:tabs>
        <w:numPr>
          <w:ilvl w:val="2"/>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payment of any dividend (or, in the case of any partnership or limited liability company, any similar distribution) by a Restricted Subsidiary of the Issuer to the holders of its Equity Interests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(or a basis more favorable to the Issuer);</w:t>
      </w:r>
    </w:p>
    <w:p>
      <w:pPr>
        <w:spacing w:after="0" w:line="136" w:lineRule="exact"/>
        <w:rPr>
          <w:rFonts w:ascii="Times New Roman" w:cs="Times New Roman" w:eastAsia="Times New Roman" w:hAnsi="Times New Roman"/>
          <w:sz w:val="19"/>
          <w:szCs w:val="19"/>
          <w:color w:val="auto"/>
        </w:rPr>
      </w:pPr>
    </w:p>
    <w:p>
      <w:pPr>
        <w:jc w:val="both"/>
        <w:ind w:left="-2" w:firstLine="1274"/>
        <w:spacing w:after="0" w:line="245" w:lineRule="auto"/>
        <w:tabs>
          <w:tab w:leader="none" w:pos="1729" w:val="left"/>
        </w:tabs>
        <w:numPr>
          <w:ilvl w:val="2"/>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repurchase, redemption, defeasance, satisfaction and discharge or other acquisition or retirement for value of Indebtedness of the Issuer or any Guarantor that is contractually subordinated in right of payment to the Notes or to any Guarantee or any Disqualified Stock of the Issuer out or with the net cash proceeds from a substantially concurrent incurrence of, or in exchange for, Permitted Refinancing Indebtedness;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78"/>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10598"/>
          </w:cols>
          <w:pgMar w:left="962" w:top="1440" w:right="339" w:bottom="1440" w:gutter="0" w:footer="0" w:header="0"/>
        </w:sectPr>
      </w:pPr>
    </w:p>
    <w:bookmarkStart w:id="77" w:name="page78"/>
    <w:bookmarkEnd w:id="77"/>
    <w:p>
      <w:pPr>
        <w:spacing w:after="0" w:line="148" w:lineRule="exact"/>
        <w:rPr>
          <w:sz w:val="20"/>
          <w:szCs w:val="20"/>
          <w:color w:val="auto"/>
        </w:rPr>
      </w:pPr>
    </w:p>
    <w:p>
      <w:pPr>
        <w:jc w:val="both"/>
        <w:ind w:left="-480" w:firstLine="1274"/>
        <w:spacing w:after="0" w:line="236" w:lineRule="auto"/>
        <w:tabs>
          <w:tab w:leader="none" w:pos="1227"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repurchase, redemption or other acquisition or retirement for value of any Equity Interests of the Issuer or any Restricted Subsidiary of the Issuer held by any current or former officer, director or employee of the Issuer or any of its Restricted Subsidiaries pursuant to any equity subscription agreement, equity option agreement, unitholders’ agreement or similar agreement;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aggregate price paid for all such repurchased, redeemed, acquired or retired Equity Interests may not exceed $10.0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million in any calendar year (with any portion of such $10.0 million amount that is unused in any calendar year to be carried forward to successive calendar years and added to such amount), plus (a) the cash proceeds received by the Issuer or any of its Restricted Subsidiaries from sales of Equity Interests of the Issuer to employees or directors of the Issuer that occur after the Issue Date (to the extent the cash proceeds from the sale of such Equity Interests have not otherwise been applied to the payment of Restricted Payments by virtue of clause (C)(ii) of Section 4.07(a), plus (b) the cash proceeds of key man life insurance policies received by the Issuer or any of its Restricted Subsidiaries after the Issue Date, less (c) the amount of payments previously effected by using amounts specified in the foregoing clauses (a) and (b);</w:t>
      </w:r>
    </w:p>
    <w:p>
      <w:pPr>
        <w:spacing w:after="0" w:line="154" w:lineRule="exact"/>
        <w:rPr>
          <w:rFonts w:ascii="Times New Roman" w:cs="Times New Roman" w:eastAsia="Times New Roman" w:hAnsi="Times New Roman"/>
          <w:sz w:val="19"/>
          <w:szCs w:val="19"/>
          <w:color w:val="auto"/>
        </w:rPr>
      </w:pPr>
    </w:p>
    <w:p>
      <w:pPr>
        <w:jc w:val="both"/>
        <w:ind w:left="-480" w:firstLine="1274"/>
        <w:spacing w:after="0" w:line="245" w:lineRule="auto"/>
        <w:tabs>
          <w:tab w:leader="none" w:pos="127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or advances to employees of the Issuer or employees or directors of any Subsidiary of the Issuer, in each case as permitted by Section 402 of the Sarbanes-Oxley Act of 2002, the proceeds of which are used to purchase Capital Stock of the Issuer, or to refinance loans or advances made pursuant to this clause (6), in an aggregate amount not in excess of $2.0 million at any one time outstanding;</w:t>
      </w:r>
    </w:p>
    <w:p>
      <w:pPr>
        <w:spacing w:after="0" w:line="154" w:lineRule="exact"/>
        <w:rPr>
          <w:rFonts w:ascii="Times New Roman" w:cs="Times New Roman" w:eastAsia="Times New Roman" w:hAnsi="Times New Roman"/>
          <w:sz w:val="19"/>
          <w:szCs w:val="19"/>
          <w:color w:val="auto"/>
        </w:rPr>
      </w:pPr>
    </w:p>
    <w:p>
      <w:pPr>
        <w:jc w:val="both"/>
        <w:ind w:left="-480" w:firstLine="1274"/>
        <w:spacing w:after="0" w:line="242" w:lineRule="auto"/>
        <w:tabs>
          <w:tab w:leader="none" w:pos="12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repurchase or other acquisition or retirement for value of Equity Interests deemed to occur upon the exercise, conversion or exchange of units or other equity options, warrants, incentives or other rights to acquire Equity Interests to the extent such Equity Interests represent a portion of the exercise, conversion or exchange price of those unit or other equity options or other rights and any repurchase or other acquisition or retirement for value of Equity Interests made in lieu of withholding taxes in connection with any exercise, conversion or exchange of units or other equity options, warrants, incentives or other rights to acquire Equity Interests;</w:t>
      </w:r>
    </w:p>
    <w:p>
      <w:pPr>
        <w:spacing w:after="0" w:line="157" w:lineRule="exact"/>
        <w:rPr>
          <w:rFonts w:ascii="Times New Roman" w:cs="Times New Roman" w:eastAsia="Times New Roman" w:hAnsi="Times New Roman"/>
          <w:sz w:val="19"/>
          <w:szCs w:val="19"/>
          <w:color w:val="auto"/>
        </w:rPr>
      </w:pPr>
    </w:p>
    <w:p>
      <w:pPr>
        <w:jc w:val="both"/>
        <w:ind w:left="-480" w:firstLine="1274"/>
        <w:spacing w:after="0" w:line="251" w:lineRule="auto"/>
        <w:tabs>
          <w:tab w:leader="none" w:pos="1288"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repurchase, redemption or other acquisition or retirement for value of Equity Interests of the Issuer or any Restricted Subsidiary of the Issuer representing fractional units of such Equity Interests in connection with a merger or consolidation involving the Issuer or such Restricted Subsidiary or any other transaction permitted by this Indenture;</w:t>
      </w:r>
    </w:p>
    <w:p>
      <w:pPr>
        <w:spacing w:after="0" w:line="136" w:lineRule="exact"/>
        <w:rPr>
          <w:rFonts w:ascii="Times New Roman" w:cs="Times New Roman" w:eastAsia="Times New Roman" w:hAnsi="Times New Roman"/>
          <w:sz w:val="19"/>
          <w:szCs w:val="19"/>
          <w:color w:val="auto"/>
        </w:rPr>
      </w:pPr>
    </w:p>
    <w:p>
      <w:pPr>
        <w:jc w:val="both"/>
        <w:ind w:left="-480" w:firstLine="1274"/>
        <w:spacing w:after="0" w:line="255" w:lineRule="auto"/>
        <w:tabs>
          <w:tab w:leader="none" w:pos="131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and payment of regularly scheduled or accrued dividends to holders of any class or series of Disqualified Stock of the Issuer or any Preferred Stock of any Restricted Subsidiary of the Issuer issued in accordance with Section 4.09;</w:t>
      </w:r>
    </w:p>
    <w:p>
      <w:pPr>
        <w:spacing w:after="0" w:line="370" w:lineRule="exact"/>
        <w:rPr>
          <w:rFonts w:ascii="Times New Roman" w:cs="Times New Roman" w:eastAsia="Times New Roman" w:hAnsi="Times New Roman"/>
          <w:sz w:val="19"/>
          <w:szCs w:val="19"/>
          <w:color w:val="auto"/>
        </w:rPr>
      </w:pPr>
    </w:p>
    <w:p>
      <w:pPr>
        <w:jc w:val="both"/>
        <w:ind w:left="-480" w:firstLine="1274"/>
        <w:spacing w:after="0" w:line="246" w:lineRule="auto"/>
        <w:tabs>
          <w:tab w:leader="none" w:pos="139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of cash, dividends, distributions, advances or other Restricted Payments by the Issuer or any of its Restricted Subsidiaries to allow the payment of cash in lieu of the issuance of fractional units upon (i) the exercise of options or warrants, incentives or other rights to acquire Equity Interests or (ii) the exercise, conversion or exchange of Equity Interests of any such Person;</w:t>
      </w:r>
    </w:p>
    <w:p>
      <w:pPr>
        <w:spacing w:after="0" w:line="374" w:lineRule="exact"/>
        <w:rPr>
          <w:rFonts w:ascii="Times New Roman" w:cs="Times New Roman" w:eastAsia="Times New Roman" w:hAnsi="Times New Roman"/>
          <w:sz w:val="19"/>
          <w:szCs w:val="19"/>
          <w:color w:val="auto"/>
        </w:rPr>
      </w:pPr>
    </w:p>
    <w:p>
      <w:pPr>
        <w:jc w:val="both"/>
        <w:ind w:left="-480" w:firstLine="1274"/>
        <w:spacing w:after="0" w:line="242" w:lineRule="auto"/>
        <w:tabs>
          <w:tab w:leader="none" w:pos="1395"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redemption or other acquisition or retirement for value of Indebtedness that is subordinated or junior in right of payment to the Notes or any Guarantee at a purchase price not greater than (i) 101% of the principal amount of such subordinated or junior Indebtedness in the event of a Change of Control or (ii) 100% of the principal amount of such subordinated or junior Indebtedness in the event of an Asset Sale, in each case, plus accrued and unpaid interest thereon, in connection with any change of control offer or prepayment offer required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10120"/>
          </w:cols>
          <w:pgMar w:left="1440" w:top="1440" w:right="339" w:bottom="1440" w:gutter="0" w:footer="0" w:header="0"/>
        </w:sectPr>
      </w:pPr>
    </w:p>
    <w:bookmarkStart w:id="78" w:name="page79"/>
    <w:bookmarkEnd w:id="78"/>
    <w:p>
      <w:pPr>
        <w:spacing w:after="0" w:line="148"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9"/>
          <w:szCs w:val="19"/>
          <w:color w:val="auto"/>
        </w:rPr>
        <w:t>by the terms of such Indebtedness, but only if (a) in the case of a Change of Control, the Issuer has first complied with and fully satisfied its obligations in accordance with Section 4.15, or (b) in the case of an Asset Sale, the Issuer has complied with and fully satisfied its obligations in accordance with Section 4.10; and</w:t>
      </w:r>
    </w:p>
    <w:p>
      <w:pPr>
        <w:spacing w:after="0" w:line="136" w:lineRule="exact"/>
        <w:rPr>
          <w:sz w:val="20"/>
          <w:szCs w:val="20"/>
          <w:color w:val="auto"/>
        </w:rPr>
      </w:pPr>
    </w:p>
    <w:p>
      <w:pPr>
        <w:ind w:left="640" w:firstLine="1274"/>
        <w:spacing w:after="0" w:line="270" w:lineRule="auto"/>
        <w:tabs>
          <w:tab w:leader="none" w:pos="2497"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Payment, which when combined with the outstanding amount of all other Restricted Payments effected pursuant to this clause (12), does not exceed $100.0 million at any one time outstanding.</w:t>
      </w:r>
    </w:p>
    <w:p>
      <w:pPr>
        <w:spacing w:after="0" w:line="131" w:lineRule="exact"/>
        <w:rPr>
          <w:sz w:val="20"/>
          <w:szCs w:val="20"/>
          <w:color w:val="auto"/>
        </w:rPr>
      </w:pPr>
    </w:p>
    <w:p>
      <w:pPr>
        <w:ind w:right="80" w:firstLine="318"/>
        <w:spacing w:after="0" w:line="244" w:lineRule="auto"/>
        <w:rPr>
          <w:sz w:val="20"/>
          <w:szCs w:val="20"/>
          <w:color w:val="auto"/>
        </w:rPr>
      </w:pPr>
      <w:r>
        <w:rPr>
          <w:rFonts w:ascii="Times New Roman" w:cs="Times New Roman" w:eastAsia="Times New Roman" w:hAnsi="Times New Roman"/>
          <w:sz w:val="19"/>
          <w:szCs w:val="19"/>
          <w:color w:val="auto"/>
        </w:rPr>
        <w:t>Notwithstanding the foregoing, the Issuer will not, and will not permit any Restricted Subsidiary to, directly or indirectly declare or make any Restricted Payment of the type described in clause (1) or (2) of the definition of “Restricted Payment” pursuant to Section 4.07(a) or clause</w:t>
      </w:r>
    </w:p>
    <w:p>
      <w:pPr>
        <w:spacing w:after="0" w:line="2" w:lineRule="exact"/>
        <w:rPr>
          <w:sz w:val="20"/>
          <w:szCs w:val="20"/>
          <w:color w:val="auto"/>
        </w:rPr>
      </w:pPr>
    </w:p>
    <w:p>
      <w:pPr>
        <w:ind w:right="380" w:firstLine="6"/>
        <w:spacing w:after="0" w:line="246" w:lineRule="auto"/>
        <w:tabs>
          <w:tab w:leader="none" w:pos="372"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Section 4.07(b) unless at the time of declaration and making of such Restricted Payment the Total Leverage Ratio is not greater than 2.25 to 1.00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after giving effect to such Restricted Payment.</w:t>
      </w:r>
    </w:p>
    <w:p>
      <w:pPr>
        <w:spacing w:after="0" w:line="153"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19"/>
          <w:szCs w:val="19"/>
          <w:color w:val="auto"/>
        </w:rPr>
        <w:t>The amount of all Restricted Payments (other than cash) will be the Fair Market Value, on the date of the Restricted Payment, of the Restricted Investment proposed to be made or the asset(s) or securities proposed to be transferred or issued by the Issuer or any of its Restricted Subsidiaries, as the case may be, pursuant to the Restricted Payment, except that the Fair Market Value of any non-cash dividend paid within 60 days after the date of declaration will be determined as of such date of declaration. The Fair Market Value of any Restricted Investment, assets or securities that are required to be valued by this Section 4.07 will be determined in accordance with the definition of that term. For purposes of determining compliance with this Section 4.07, in the event that a Restricted Payment (or payment or other transaction that, except for being a Permitted Investment or Permitted Payment, would constitute a Restricted Payment) meets the criteria of more than one of the categories of Restricted Payments described in the preceding clauses (1) through (12) of Section 4.07(b), or is permitted pursuant to Section 4.07(a) or is a Permitted Investment or Permitted Payment, the Issuer will be permitted to classify (or later classify or reclassify in whole or in part in its sole discretion) such Restricted Payment or other such transaction (or portion thereof) on the date made or later reclassify such Restricted Payment or other such transaction (or portion thereof) in any manner that complies with this Section 4.07. “</w:t>
      </w:r>
      <w:r>
        <w:rPr>
          <w:rFonts w:ascii="Times New Roman" w:cs="Times New Roman" w:eastAsia="Times New Roman" w:hAnsi="Times New Roman"/>
          <w:sz w:val="19"/>
          <w:szCs w:val="19"/>
          <w:i w:val="1"/>
          <w:iCs w:val="1"/>
          <w:color w:val="auto"/>
        </w:rPr>
        <w:t>Permitted Payment</w:t>
      </w:r>
      <w:r>
        <w:rPr>
          <w:rFonts w:ascii="Times New Roman" w:cs="Times New Roman" w:eastAsia="Times New Roman" w:hAnsi="Times New Roman"/>
          <w:sz w:val="19"/>
          <w:szCs w:val="19"/>
          <w:color w:val="auto"/>
        </w:rPr>
        <w:t>” means any transaction expressly excluded from clauses (1), (2) and (3) of Section 4.07(a).</w:t>
      </w:r>
    </w:p>
    <w:p>
      <w:pPr>
        <w:spacing w:after="0" w:line="15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For purposes of this Section 4.07 and the definition of “Permitted Investments,” a contribution, sale or incurrence will be deemed to be “substantially concurrent” if the related Restricted Payment or purchase, repurchase, redemption, defeasance, satisfaction and discharge, retirement or other acquisition for value or payment of principal or acquisition of assets or Capital Stock occurs no later than 180 days after such contribution, sale or incurrence.</w:t>
      </w:r>
    </w:p>
    <w:p>
      <w:pPr>
        <w:spacing w:after="0" w:line="15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4.08</w:t>
      </w:r>
      <w:r>
        <w:rPr>
          <w:sz w:val="20"/>
          <w:szCs w:val="20"/>
          <w:color w:val="auto"/>
        </w:rPr>
        <w:tab/>
      </w:r>
      <w:r>
        <w:rPr>
          <w:rFonts w:ascii="Times New Roman" w:cs="Times New Roman" w:eastAsia="Times New Roman" w:hAnsi="Times New Roman"/>
          <w:sz w:val="19"/>
          <w:szCs w:val="19"/>
          <w:i w:val="1"/>
          <w:iCs w:val="1"/>
          <w:color w:val="auto"/>
        </w:rPr>
        <w:t>Dividend and Other Payment Restrictions Affecting Restricted Subsidiaries.</w:t>
      </w:r>
    </w:p>
    <w:p>
      <w:pPr>
        <w:spacing w:after="0" w:line="194" w:lineRule="exact"/>
        <w:rPr>
          <w:sz w:val="20"/>
          <w:szCs w:val="20"/>
          <w:color w:val="auto"/>
        </w:rPr>
      </w:pPr>
    </w:p>
    <w:p>
      <w:pPr>
        <w:ind w:firstLine="1278"/>
        <w:spacing w:after="0" w:line="270" w:lineRule="auto"/>
        <w:tabs>
          <w:tab w:leader="none" w:pos="1691"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117" w:lineRule="exact"/>
        <w:rPr>
          <w:rFonts w:ascii="Times New Roman" w:cs="Times New Roman" w:eastAsia="Times New Roman" w:hAnsi="Times New Roman"/>
          <w:sz w:val="19"/>
          <w:szCs w:val="19"/>
          <w:color w:val="auto"/>
        </w:rPr>
      </w:pPr>
    </w:p>
    <w:p>
      <w:pPr>
        <w:jc w:val="both"/>
        <w:ind w:left="640" w:firstLine="1274"/>
        <w:spacing w:after="0"/>
        <w:tabs>
          <w:tab w:leader="none" w:pos="2506"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 dividends or make any other distributions on its Capital Stock to the Issuer or any of its Restricted Subsidiaries, or pay any indebtedness owed to the Issuer or any of its Restricted Subsidiaries;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pay or make dividends or distributions on Capital Stock for purposes of this Section 4.08 and (ii) the subordination of Indebtedness owed to the Issuer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any Restricted Subsidiary to other Indebtedness incurred by any Restricted Subsidiary shall not be deemed a restriction on the ability to pay Indebtedness;</w:t>
      </w:r>
    </w:p>
    <w:p>
      <w:pPr>
        <w:spacing w:after="0" w:line="118" w:lineRule="exact"/>
        <w:rPr>
          <w:sz w:val="20"/>
          <w:szCs w:val="20"/>
          <w:color w:val="auto"/>
        </w:rPr>
      </w:pPr>
    </w:p>
    <w:p>
      <w:pPr>
        <w:jc w:val="both"/>
        <w:ind w:left="-80" w:firstLine="1274"/>
        <w:spacing w:after="0" w:line="251" w:lineRule="auto"/>
        <w:tabs>
          <w:tab w:leader="none" w:pos="181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loans or advances to the Issuer or any of its Restricted Subsidiaries (it being understood that the subordination of loans or advances made to the Issuer or any Restricted Subsidiary to other Indebtedness incurred by the Issuer or any Restricted Subsidiary shall not be deemed a restriction on the ability to make loans or advances); or</w:t>
      </w:r>
    </w:p>
    <w:p>
      <w:pPr>
        <w:spacing w:after="0" w:line="149" w:lineRule="exact"/>
        <w:rPr>
          <w:rFonts w:ascii="Times New Roman" w:cs="Times New Roman" w:eastAsia="Times New Roman" w:hAnsi="Times New Roman"/>
          <w:sz w:val="19"/>
          <w:szCs w:val="19"/>
          <w:color w:val="auto"/>
        </w:rPr>
      </w:pPr>
    </w:p>
    <w:p>
      <w:pPr>
        <w:ind w:left="1620" w:hanging="426"/>
        <w:spacing w:after="0"/>
        <w:tabs>
          <w:tab w:leader="none" w:pos="1620"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lease or transfer any of its properties or assets to the Issuer or any of its Restricted Subsidiaries.</w:t>
      </w:r>
    </w:p>
    <w:p>
      <w:pPr>
        <w:spacing w:after="0" w:line="192"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restrictions in Section 4.08(a) will not apply to encumbrances or restrictions existing under or by reason of:</w:t>
      </w:r>
    </w:p>
    <w:p>
      <w:pPr>
        <w:spacing w:after="0" w:line="179" w:lineRule="exact"/>
        <w:rPr>
          <w:rFonts w:ascii="Times New Roman" w:cs="Times New Roman" w:eastAsia="Times New Roman" w:hAnsi="Times New Roman"/>
          <w:sz w:val="19"/>
          <w:szCs w:val="19"/>
          <w:color w:val="auto"/>
        </w:rPr>
      </w:pPr>
    </w:p>
    <w:p>
      <w:pPr>
        <w:jc w:val="both"/>
        <w:ind w:firstLine="1274"/>
        <w:spacing w:after="0" w:line="242" w:lineRule="auto"/>
        <w:tabs>
          <w:tab w:leader="none" w:pos="1775"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agreements governing Existing Indebtedness and the Credit Agreement as in effect on the Issue Date and any amendments, restatements, modifications, renewals, supplements, refundings, replacements or refinancings of those agreements;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encumbrances or restrictions contained in such amendments, restatements, modifications, renewals, supplements,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refundings, replacements or refinancings are not materially more restrictive, taken as a whole, with respect to such dividend and other payment restrictions than those contained in those agreements on the Issue Date, as determined in good faith by the Issuer;</w:t>
      </w:r>
    </w:p>
    <w:p>
      <w:pPr>
        <w:spacing w:after="0" w:line="157" w:lineRule="exact"/>
        <w:rPr>
          <w:rFonts w:ascii="Times New Roman" w:cs="Times New Roman" w:eastAsia="Times New Roman" w:hAnsi="Times New Roman"/>
          <w:sz w:val="19"/>
          <w:szCs w:val="19"/>
          <w:color w:val="auto"/>
        </w:rPr>
      </w:pPr>
    </w:p>
    <w:p>
      <w:pPr>
        <w:ind w:left="1700" w:hanging="426"/>
        <w:spacing w:after="0"/>
        <w:tabs>
          <w:tab w:leader="none" w:pos="1700"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Indenture, the Notes and the Guarantees;</w:t>
      </w:r>
    </w:p>
    <w:p>
      <w:pPr>
        <w:spacing w:after="0" w:line="192" w:lineRule="exact"/>
        <w:rPr>
          <w:rFonts w:ascii="Times New Roman" w:cs="Times New Roman" w:eastAsia="Times New Roman" w:hAnsi="Times New Roman"/>
          <w:sz w:val="19"/>
          <w:szCs w:val="19"/>
          <w:color w:val="auto"/>
        </w:rPr>
      </w:pPr>
    </w:p>
    <w:p>
      <w:pPr>
        <w:jc w:val="both"/>
        <w:ind w:firstLine="1274"/>
        <w:spacing w:after="0" w:line="242" w:lineRule="auto"/>
        <w:tabs>
          <w:tab w:leader="none" w:pos="1740"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agreements governing other Indebtedness permitted to be incurred under the provisions of Section 4.09 and any amendments, restatements, modifications, renewals, supplements, refundings, replacements or refinancings of those agreements;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encumbrances or restrictions contained therein are not materially more restrictive, taken as a whole, than those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contained in this Indenture, the Notes and the Guarantees or the Credit Agreement as in effect on the Issue Date, as determined in good faith by the Issuer;</w:t>
      </w:r>
    </w:p>
    <w:p>
      <w:pPr>
        <w:spacing w:after="0" w:line="364" w:lineRule="exact"/>
        <w:rPr>
          <w:rFonts w:ascii="Times New Roman" w:cs="Times New Roman" w:eastAsia="Times New Roman" w:hAnsi="Times New Roman"/>
          <w:sz w:val="19"/>
          <w:szCs w:val="19"/>
          <w:color w:val="auto"/>
        </w:rPr>
      </w:pPr>
    </w:p>
    <w:p>
      <w:pPr>
        <w:ind w:left="1700" w:hanging="426"/>
        <w:spacing w:after="0"/>
        <w:tabs>
          <w:tab w:leader="none" w:pos="1700"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applicable law, rule, regulation, order, approval, license, permit or similar restriction;</w:t>
      </w:r>
    </w:p>
    <w:p>
      <w:pPr>
        <w:spacing w:after="0" w:line="192" w:lineRule="exact"/>
        <w:rPr>
          <w:rFonts w:ascii="Times New Roman" w:cs="Times New Roman" w:eastAsia="Times New Roman" w:hAnsi="Times New Roman"/>
          <w:sz w:val="19"/>
          <w:szCs w:val="19"/>
          <w:color w:val="auto"/>
        </w:rPr>
      </w:pPr>
    </w:p>
    <w:p>
      <w:pPr>
        <w:jc w:val="both"/>
        <w:ind w:firstLine="1274"/>
        <w:spacing w:after="0"/>
        <w:tabs>
          <w:tab w:leader="none" w:pos="1754"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instrument governing Indebtedness or Capital Stock or other agreement of a Person acquired (including by merger or consolidation), or the assets of which are acquired, by the Issuer or any of its Restricted Subsidiaries as in effect at the time of such acquisition (except to the extent such Indebtedness or Capital Stock or other agreement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Indebtedness, such Indebtedness was permitted by the terms of this Indenture to be incurred;</w:t>
      </w:r>
    </w:p>
    <w:p>
      <w:pPr>
        <w:spacing w:after="0" w:line="159" w:lineRule="exact"/>
        <w:rPr>
          <w:rFonts w:ascii="Times New Roman" w:cs="Times New Roman" w:eastAsia="Times New Roman" w:hAnsi="Times New Roman"/>
          <w:sz w:val="19"/>
          <w:szCs w:val="19"/>
          <w:color w:val="auto"/>
        </w:rPr>
      </w:pPr>
    </w:p>
    <w:p>
      <w:pPr>
        <w:ind w:firstLine="1274"/>
        <w:spacing w:after="0" w:line="270" w:lineRule="auto"/>
        <w:tabs>
          <w:tab w:leader="none" w:pos="1828"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non-assignment provisions in Hydrocarbon purchase and sale or exchange agreements or similar operational agreements or in licenses, easements or leases, in each case, entered into in the ordinary course of business;</w:t>
      </w:r>
    </w:p>
    <w:p>
      <w:pPr>
        <w:spacing w:after="0" w:line="117" w:lineRule="exact"/>
        <w:rPr>
          <w:rFonts w:ascii="Times New Roman" w:cs="Times New Roman" w:eastAsia="Times New Roman" w:hAnsi="Times New Roman"/>
          <w:sz w:val="19"/>
          <w:szCs w:val="19"/>
          <w:color w:val="auto"/>
        </w:rPr>
      </w:pPr>
    </w:p>
    <w:p>
      <w:pPr>
        <w:ind w:firstLine="1274"/>
        <w:spacing w:after="0" w:line="270" w:lineRule="auto"/>
        <w:tabs>
          <w:tab w:leader="none" w:pos="1884"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money obligations for property acquired in the ordinary course of business and Finance Lease Obligations that impose restrictions on the property purchased or leased of the nature described in clause (3) of Section 4.08(a);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67</w:t>
      </w:r>
    </w:p>
    <w:p>
      <w:pPr>
        <w:sectPr>
          <w:pgSz w:w="11900" w:h="16838" w:orient="portrait"/>
          <w:cols w:equalWidth="0" w:num="1">
            <w:col w:w="10600"/>
          </w:cols>
          <w:pgMar w:left="960" w:top="1440" w:right="339" w:bottom="1440" w:gutter="0" w:footer="0" w:header="0"/>
        </w:sectPr>
      </w:pPr>
    </w:p>
    <w:bookmarkStart w:id="80" w:name="page81"/>
    <w:bookmarkEnd w:id="80"/>
    <w:p>
      <w:pPr>
        <w:spacing w:after="0" w:line="148" w:lineRule="exact"/>
        <w:rPr>
          <w:sz w:val="20"/>
          <w:szCs w:val="20"/>
          <w:color w:val="auto"/>
        </w:rPr>
      </w:pPr>
    </w:p>
    <w:p>
      <w:pPr>
        <w:ind w:left="-2" w:firstLine="1274"/>
        <w:spacing w:after="0" w:line="270" w:lineRule="auto"/>
        <w:tabs>
          <w:tab w:leader="none" w:pos="1815"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agreement for the sale or other disposition of a Restricted Subsidiary that restricts distributions by that Restricted Subsidiary pending its sale or other disposition;</w:t>
      </w:r>
    </w:p>
    <w:p>
      <w:pPr>
        <w:spacing w:after="0" w:line="115" w:lineRule="exact"/>
        <w:rPr>
          <w:rFonts w:ascii="Times New Roman" w:cs="Times New Roman" w:eastAsia="Times New Roman" w:hAnsi="Times New Roman"/>
          <w:sz w:val="19"/>
          <w:szCs w:val="19"/>
          <w:color w:val="auto"/>
        </w:rPr>
      </w:pPr>
    </w:p>
    <w:p>
      <w:pPr>
        <w:jc w:val="both"/>
        <w:ind w:left="-2" w:firstLine="1274"/>
        <w:spacing w:after="0" w:line="252" w:lineRule="auto"/>
        <w:tabs>
          <w:tab w:leader="none" w:pos="1766"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Permitted Refinancing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restrictions contained in the agreements governing such Permitted Refinancing Indebtedness are not materially more restrictive, taken as a whole, than those contained in the agreements governing the Indebtedness being refinanced, as determined in good faith by the Issuer;</w:t>
      </w:r>
    </w:p>
    <w:p>
      <w:pPr>
        <w:spacing w:after="0" w:line="148" w:lineRule="exact"/>
        <w:rPr>
          <w:rFonts w:ascii="Times New Roman" w:cs="Times New Roman" w:eastAsia="Times New Roman" w:hAnsi="Times New Roman"/>
          <w:sz w:val="19"/>
          <w:szCs w:val="19"/>
          <w:color w:val="auto"/>
        </w:rPr>
      </w:pPr>
    </w:p>
    <w:p>
      <w:pPr>
        <w:ind w:left="-2" w:firstLine="1274"/>
        <w:spacing w:after="0" w:line="270" w:lineRule="auto"/>
        <w:tabs>
          <w:tab w:leader="none" w:pos="1797"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permitted to be incurred under the provisions of Section 4.12 that limit the right of the debtor to dispose of the assets subject to such Liens;</w:t>
      </w:r>
    </w:p>
    <w:p>
      <w:pPr>
        <w:spacing w:after="0" w:line="131" w:lineRule="exact"/>
        <w:rPr>
          <w:rFonts w:ascii="Times New Roman" w:cs="Times New Roman" w:eastAsia="Times New Roman" w:hAnsi="Times New Roman"/>
          <w:sz w:val="19"/>
          <w:szCs w:val="19"/>
          <w:color w:val="auto"/>
        </w:rPr>
      </w:pPr>
    </w:p>
    <w:p>
      <w:pPr>
        <w:jc w:val="both"/>
        <w:ind w:left="-2" w:firstLine="1274"/>
        <w:spacing w:after="0" w:line="242" w:lineRule="auto"/>
        <w:tabs>
          <w:tab w:leader="none" w:pos="1859"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limiting the disposition or distribution of assets or property in joint venture agreements, asset sale agreements, sale-leaseback agreements, stock sale agreements, shareholders’ agreements, partnership agreements and other similar agreements (including agreements entered into in connection with a Restricted Investment) entered into with the approval of the Board of Directors of the Issuer or in the ordinary course of business, which limitation is applicable only to the assets or property that is the subject of such agreements;</w:t>
      </w:r>
    </w:p>
    <w:p>
      <w:pPr>
        <w:spacing w:after="0" w:line="144" w:lineRule="exact"/>
        <w:rPr>
          <w:rFonts w:ascii="Times New Roman" w:cs="Times New Roman" w:eastAsia="Times New Roman" w:hAnsi="Times New Roman"/>
          <w:sz w:val="19"/>
          <w:szCs w:val="19"/>
          <w:color w:val="auto"/>
        </w:rPr>
      </w:pPr>
    </w:p>
    <w:p>
      <w:pPr>
        <w:jc w:val="both"/>
        <w:ind w:left="-2" w:firstLine="1274"/>
        <w:spacing w:after="0" w:line="251" w:lineRule="auto"/>
        <w:tabs>
          <w:tab w:leader="none" w:pos="1867"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agreement or instrument relating to any property or assets acquired after the Issue Date, so long as such encumbrance or restriction relates only to the property or assets so acquired and is not and was not created in anticipation of such acquisition;</w:t>
      </w:r>
    </w:p>
    <w:p>
      <w:pPr>
        <w:spacing w:after="0" w:line="149" w:lineRule="exact"/>
        <w:rPr>
          <w:rFonts w:ascii="Times New Roman" w:cs="Times New Roman" w:eastAsia="Times New Roman" w:hAnsi="Times New Roman"/>
          <w:sz w:val="19"/>
          <w:szCs w:val="19"/>
          <w:color w:val="auto"/>
        </w:rPr>
      </w:pPr>
    </w:p>
    <w:p>
      <w:pPr>
        <w:ind w:left="-2" w:firstLine="1274"/>
        <w:spacing w:after="0" w:line="270" w:lineRule="auto"/>
        <w:tabs>
          <w:tab w:leader="none" w:pos="1816"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or restrictions on cash, Cash Equivalents or other deposits or net worth requirements imposed by customers or lessors under contracts or leases entered into in the ordinary course of business;</w:t>
      </w:r>
    </w:p>
    <w:p>
      <w:pPr>
        <w:spacing w:after="0" w:line="129" w:lineRule="exact"/>
        <w:rPr>
          <w:rFonts w:ascii="Times New Roman" w:cs="Times New Roman" w:eastAsia="Times New Roman" w:hAnsi="Times New Roman"/>
          <w:sz w:val="19"/>
          <w:szCs w:val="19"/>
          <w:color w:val="auto"/>
        </w:rPr>
      </w:pPr>
    </w:p>
    <w:p>
      <w:pPr>
        <w:jc w:val="both"/>
        <w:ind w:left="-2" w:firstLine="1274"/>
        <w:spacing w:after="0" w:line="242" w:lineRule="auto"/>
        <w:tabs>
          <w:tab w:leader="none" w:pos="1869"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Preferred Stock issued by a Restricted Subsidiary of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issuance of such Preferred Stock is permitted pursuant to Section 4.09 and the terms of such Preferred Stock do not expressly restrict the ability of a Restricted Subsidiary of the Issuer to pay dividends or make any other distributions on its Equity Interests (other than requirements to pay dividends or liquidation preferences on such Preferred Stock prior to paying any dividends or making any other distributions on such other Equity Interests);</w:t>
      </w:r>
    </w:p>
    <w:p>
      <w:pPr>
        <w:spacing w:after="0" w:line="146" w:lineRule="exact"/>
        <w:rPr>
          <w:rFonts w:ascii="Times New Roman" w:cs="Times New Roman" w:eastAsia="Times New Roman" w:hAnsi="Times New Roman"/>
          <w:sz w:val="19"/>
          <w:szCs w:val="19"/>
          <w:color w:val="auto"/>
        </w:rPr>
      </w:pPr>
    </w:p>
    <w:p>
      <w:pPr>
        <w:jc w:val="both"/>
        <w:ind w:left="-2" w:firstLine="1274"/>
        <w:spacing w:after="0" w:line="238" w:lineRule="auto"/>
        <w:tabs>
          <w:tab w:leader="none" w:pos="1825"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contained in the terms of any Indebtedness or any agreement pursuant to which such Indebtedness was incurred if (x) either (a) the encumbrance or restriction applies only in the event of a payment default or a default with respect to a financial covenant in such Indebtedness or agreement or (b) any such encumbrance or restriction will not materially affect the Issuer’s ability to make principal or interest payments on the Notes, as determined in good faith by the Issuer and</w:t>
      </w:r>
    </w:p>
    <w:p>
      <w:pPr>
        <w:spacing w:after="0" w:line="3" w:lineRule="exact"/>
        <w:rPr>
          <w:rFonts w:ascii="Times New Roman" w:cs="Times New Roman" w:eastAsia="Times New Roman" w:hAnsi="Times New Roman"/>
          <w:sz w:val="19"/>
          <w:szCs w:val="19"/>
          <w:color w:val="auto"/>
        </w:rPr>
      </w:pPr>
    </w:p>
    <w:p>
      <w:pPr>
        <w:ind w:left="-2" w:right="20" w:firstLine="2"/>
        <w:spacing w:after="0" w:line="246" w:lineRule="auto"/>
        <w:tabs>
          <w:tab w:leader="none" w:pos="27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encumbrance or restriction is not materially more disadvantageous to the Holders than is customary in comparable financings or agreements, as determined in good faith by the Issuer;</w:t>
      </w:r>
    </w:p>
    <w:p>
      <w:pPr>
        <w:spacing w:after="0" w:line="152" w:lineRule="exact"/>
        <w:rPr>
          <w:rFonts w:ascii="Times New Roman" w:cs="Times New Roman" w:eastAsia="Times New Roman" w:hAnsi="Times New Roman"/>
          <w:sz w:val="19"/>
          <w:szCs w:val="19"/>
          <w:color w:val="auto"/>
        </w:rPr>
      </w:pPr>
    </w:p>
    <w:p>
      <w:pPr>
        <w:ind w:left="1798" w:hanging="526"/>
        <w:spacing w:after="0"/>
        <w:tabs>
          <w:tab w:leader="none" w:pos="1798"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Obligations permitted from time to time under this Indenture;</w:t>
      </w:r>
    </w:p>
    <w:p>
      <w:pPr>
        <w:spacing w:after="0" w:line="192" w:lineRule="exact"/>
        <w:rPr>
          <w:rFonts w:ascii="Times New Roman" w:cs="Times New Roman" w:eastAsia="Times New Roman" w:hAnsi="Times New Roman"/>
          <w:sz w:val="19"/>
          <w:szCs w:val="19"/>
          <w:color w:val="auto"/>
        </w:rPr>
      </w:pPr>
    </w:p>
    <w:p>
      <w:pPr>
        <w:jc w:val="both"/>
        <w:ind w:left="-2" w:firstLine="1274"/>
        <w:spacing w:after="0" w:line="245" w:lineRule="auto"/>
        <w:tabs>
          <w:tab w:leader="none" w:pos="1804"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encumbrances and restrictions contained in contracts entered into in the ordinary course of business, not relating to any Indebtedness, and that do not, taken as a whole, detract from the value of, or from the ability of the Issuer and its Restricted Subsidiaries to realize the value of, property or assets of the Issuer or any Restricted Subsidiary in any manner material to the Issuer or any Restricted Subsidiary, as determined in good faith by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78"/>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10598"/>
          </w:cols>
          <w:pgMar w:left="962" w:top="1440" w:right="339" w:bottom="1440" w:gutter="0" w:footer="0" w:header="0"/>
        </w:sectPr>
      </w:pPr>
    </w:p>
    <w:bookmarkStart w:id="81" w:name="page82"/>
    <w:bookmarkEnd w:id="81"/>
    <w:p>
      <w:pPr>
        <w:spacing w:after="0" w:line="148" w:lineRule="exact"/>
        <w:rPr>
          <w:sz w:val="20"/>
          <w:szCs w:val="20"/>
          <w:color w:val="auto"/>
        </w:rPr>
      </w:pPr>
    </w:p>
    <w:p>
      <w:pPr>
        <w:ind w:left="640"/>
        <w:spacing w:after="0" w:line="270" w:lineRule="auto"/>
        <w:rPr>
          <w:sz w:val="20"/>
          <w:szCs w:val="20"/>
          <w:color w:val="auto"/>
        </w:rPr>
      </w:pPr>
      <w:r>
        <w:rPr>
          <w:rFonts w:ascii="Times New Roman" w:cs="Times New Roman" w:eastAsia="Times New Roman" w:hAnsi="Times New Roman"/>
          <w:sz w:val="19"/>
          <w:szCs w:val="19"/>
          <w:color w:val="auto"/>
        </w:rPr>
        <w:t>such encumbrances or restrictions will not materially affect the Issuer’s ability to make principal or interest payments on the Notes, as determined in good faith by the Issuer;</w:t>
      </w:r>
    </w:p>
    <w:p>
      <w:pPr>
        <w:spacing w:after="0" w:line="118" w:lineRule="exact"/>
        <w:rPr>
          <w:sz w:val="20"/>
          <w:szCs w:val="20"/>
          <w:color w:val="auto"/>
        </w:rPr>
      </w:pPr>
    </w:p>
    <w:p>
      <w:pPr>
        <w:ind w:left="640" w:firstLine="1274"/>
        <w:spacing w:after="0" w:line="270" w:lineRule="auto"/>
        <w:tabs>
          <w:tab w:leader="none" w:pos="2521"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encumbrances and restrictions contained in agreements of the types described in the definition of “Permitted Business Investments”; or</w:t>
      </w:r>
    </w:p>
    <w:p>
      <w:pPr>
        <w:spacing w:after="0" w:line="131" w:lineRule="exact"/>
        <w:rPr>
          <w:rFonts w:ascii="Times New Roman" w:cs="Times New Roman" w:eastAsia="Times New Roman" w:hAnsi="Times New Roman"/>
          <w:sz w:val="19"/>
          <w:szCs w:val="19"/>
          <w:color w:val="auto"/>
        </w:rPr>
      </w:pPr>
    </w:p>
    <w:p>
      <w:pPr>
        <w:ind w:left="2440" w:hanging="526"/>
        <w:spacing w:after="0"/>
        <w:tabs>
          <w:tab w:leader="none" w:pos="244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Permitted Investment.</w:t>
      </w:r>
    </w:p>
    <w:p>
      <w:pPr>
        <w:spacing w:after="0" w:line="192"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accessions and contractual rights relating primarily thereto and all proceeds thereof (including dividends, distributions and increases in respect thereof).</w:t>
      </w:r>
    </w:p>
    <w:p>
      <w:pPr>
        <w:spacing w:after="0" w:line="13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4.09</w:t>
      </w:r>
      <w:r>
        <w:rPr>
          <w:sz w:val="20"/>
          <w:szCs w:val="20"/>
          <w:color w:val="auto"/>
        </w:rPr>
        <w:tab/>
      </w:r>
      <w:r>
        <w:rPr>
          <w:rFonts w:ascii="Times New Roman" w:cs="Times New Roman" w:eastAsia="Times New Roman" w:hAnsi="Times New Roman"/>
          <w:sz w:val="19"/>
          <w:szCs w:val="19"/>
          <w:i w:val="1"/>
          <w:iCs w:val="1"/>
          <w:color w:val="auto"/>
        </w:rPr>
        <w:t>Incurrence of Indebtedness and Issuance of Preferred Stock.</w:t>
      </w:r>
    </w:p>
    <w:p>
      <w:pPr>
        <w:spacing w:after="0" w:line="194" w:lineRule="exact"/>
        <w:rPr>
          <w:sz w:val="20"/>
          <w:szCs w:val="20"/>
          <w:color w:val="auto"/>
        </w:rPr>
      </w:pPr>
    </w:p>
    <w:p>
      <w:pPr>
        <w:jc w:val="both"/>
        <w:ind w:firstLine="1278"/>
        <w:spacing w:after="0"/>
        <w:tabs>
          <w:tab w:leader="none" w:pos="175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19"/>
          <w:szCs w:val="19"/>
          <w:i w:val="1"/>
          <w:iCs w:val="1"/>
          <w:color w:val="auto"/>
        </w:rPr>
        <w:t>incur</w:t>
      </w:r>
      <w:r>
        <w:rPr>
          <w:rFonts w:ascii="Times New Roman" w:cs="Times New Roman" w:eastAsia="Times New Roman" w:hAnsi="Times New Roman"/>
          <w:sz w:val="19"/>
          <w:szCs w:val="19"/>
          <w:color w:val="auto"/>
        </w:rPr>
        <w:t xml:space="preserve">”) any Indebtedness (including Acquired Debt), and the Issuer will not issue any Disqualified Stock and will not permit any of its Restricted Subsidiaries to issue any Preferred Stock;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Issuer may incur Indebtedness (including Acquired Debt) or issue Disqualified Stock, and any Guarantor may incur Indebtedness (including Acquired Debt) or issue Preferred Stock, if the Fixed Charge Coverage Ratio for the Issuer’s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352" w:lineRule="exact"/>
        <w:rPr>
          <w:rFonts w:ascii="Times New Roman" w:cs="Times New Roman" w:eastAsia="Times New Roman" w:hAnsi="Times New Roman"/>
          <w:sz w:val="19"/>
          <w:szCs w:val="19"/>
          <w:color w:val="auto"/>
        </w:rPr>
      </w:pPr>
    </w:p>
    <w:p>
      <w:pPr>
        <w:ind w:firstLine="1278"/>
        <w:spacing w:after="0" w:line="270" w:lineRule="auto"/>
        <w:tabs>
          <w:tab w:leader="none" w:pos="1709"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4.09(a) will not prohibit the incurrence of any of the following items of Indebtedness or issuances of Disqualified Stock or Preferred Stock, as applicable (collectively,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w:t>
      </w:r>
    </w:p>
    <w:p>
      <w:pPr>
        <w:spacing w:after="0" w:line="117"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356"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Restricted Subsidiary (whether as borrower or guarantor) of Indebtedness and letters of credit under one or more Credit Facilities in an aggregate principal amount at any one time outstanding under this clause (1) (with letters of credit being deemed to have a principal amount equal to the maximum potential liability of the Issuer and its Restricted Subsidiaries thereunder) not to exceed the greatest of (i) $650,000,000, (ii) the Borrowing Base and (iii) 30.0% of Adjusted Consolidated Net Tangible Assets determined on the date of such incurrence;</w:t>
      </w:r>
    </w:p>
    <w:p>
      <w:pPr>
        <w:spacing w:after="0" w:line="157"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and its Restricted Subsidiaries of the Existing Indebtedness;</w:t>
      </w:r>
    </w:p>
    <w:p>
      <w:pPr>
        <w:spacing w:after="0" w:line="192" w:lineRule="exact"/>
        <w:rPr>
          <w:rFonts w:ascii="Times New Roman" w:cs="Times New Roman" w:eastAsia="Times New Roman" w:hAnsi="Times New Roman"/>
          <w:sz w:val="19"/>
          <w:szCs w:val="19"/>
          <w:color w:val="auto"/>
        </w:rPr>
      </w:pPr>
    </w:p>
    <w:p>
      <w:pPr>
        <w:ind w:left="640" w:firstLine="1274"/>
        <w:spacing w:after="0" w:line="270" w:lineRule="auto"/>
        <w:tabs>
          <w:tab w:leader="none" w:pos="2359"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and the Guarantors of Indebtedness represented by (a) the Initial Notes issued on the Issue Date and (b) any Guarantees of the Initial Notes issued on the Issue Date.</w:t>
      </w:r>
    </w:p>
    <w:p>
      <w:pPr>
        <w:spacing w:after="0" w:line="117" w:lineRule="exact"/>
        <w:rPr>
          <w:rFonts w:ascii="Times New Roman" w:cs="Times New Roman" w:eastAsia="Times New Roman" w:hAnsi="Times New Roman"/>
          <w:sz w:val="19"/>
          <w:szCs w:val="19"/>
          <w:color w:val="auto"/>
        </w:rPr>
      </w:pPr>
    </w:p>
    <w:p>
      <w:pPr>
        <w:ind w:left="640" w:firstLine="1274"/>
        <w:spacing w:after="0" w:line="270" w:lineRule="auto"/>
        <w:tabs>
          <w:tab w:leader="none" w:pos="2366"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of its Restricted Subsidiaries of Indebtedness (x) in connection with Sale and Leaseback Transactions, or (y) represented by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Finance Lease Obligations, mortgage financings or purchase money obligations or other Indebtedness that in the case of this clause (y)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(together with improvements, additions, accessions and contractual rights relating primarily thereto), and any Permitted Refinancing Indebtedness incurred to renew, refund, refinance, replace, defease or discharge any Indebtedness incurred pursuant to this clause (4), in an aggregate principal amount, when taken together with the outstanding amount of all other Indebtedness or Permitted Refinancing Indebtedness incurred pursuant to this clause (4), not to exceed the greater of (a) $150.0 million and (b) 5.0% of Adjusted Consolidated Net Tangible Assets determined at the date of such incurrence;</w:t>
      </w:r>
    </w:p>
    <w:p>
      <w:pPr>
        <w:spacing w:after="0" w:line="148" w:lineRule="exact"/>
        <w:rPr>
          <w:sz w:val="20"/>
          <w:szCs w:val="20"/>
          <w:color w:val="auto"/>
        </w:rPr>
      </w:pPr>
    </w:p>
    <w:p>
      <w:pPr>
        <w:jc w:val="both"/>
        <w:ind w:firstLine="1274"/>
        <w:spacing w:after="0" w:line="245" w:lineRule="auto"/>
        <w:tabs>
          <w:tab w:leader="none" w:pos="183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or Disqualified Stock or Preferred Stock that was permitted by this Indenture to be incurred under Section 4.09(a) or clause (2), (3), (5) or (15) of this Section 4.09(b);</w:t>
      </w:r>
    </w:p>
    <w:p>
      <w:pPr>
        <w:spacing w:after="0" w:line="154" w:lineRule="exact"/>
        <w:rPr>
          <w:rFonts w:ascii="Times New Roman" w:cs="Times New Roman" w:eastAsia="Times New Roman" w:hAnsi="Times New Roman"/>
          <w:sz w:val="19"/>
          <w:szCs w:val="19"/>
          <w:color w:val="auto"/>
        </w:rPr>
      </w:pPr>
    </w:p>
    <w:p>
      <w:pPr>
        <w:ind w:firstLine="1274"/>
        <w:spacing w:after="0" w:line="270" w:lineRule="auto"/>
        <w:tabs>
          <w:tab w:leader="none" w:pos="1706"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incurrence by the Issuer or any of its Restricted Subsidiaries of intercompany Indebtedness between or among the Issuer and any of its Restricted Subsidiaries;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w:t>
      </w:r>
    </w:p>
    <w:p>
      <w:pPr>
        <w:spacing w:after="0" w:line="131" w:lineRule="exact"/>
        <w:rPr>
          <w:rFonts w:ascii="Times New Roman" w:cs="Times New Roman" w:eastAsia="Times New Roman" w:hAnsi="Times New Roman"/>
          <w:sz w:val="19"/>
          <w:szCs w:val="19"/>
          <w:color w:val="auto"/>
        </w:rPr>
      </w:pPr>
    </w:p>
    <w:p>
      <w:pPr>
        <w:jc w:val="both"/>
        <w:ind w:left="640" w:firstLine="1270"/>
        <w:spacing w:after="0" w:line="251" w:lineRule="auto"/>
        <w:tabs>
          <w:tab w:leader="none" w:pos="2444"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or any Guarantor is the obligor on such Indebtedness and the payee is not the Issuer or a Guarantor, such Indebtedness must be unsecured and expressly subordinated to the prior payment in full in cash of all Obligations then due with respect to the Notes, in the case of the Issuer, or the Guarantee, in the case of a Guarantor; and</w:t>
      </w:r>
    </w:p>
    <w:p>
      <w:pPr>
        <w:spacing w:after="0" w:line="136" w:lineRule="exact"/>
        <w:rPr>
          <w:rFonts w:ascii="Times New Roman" w:cs="Times New Roman" w:eastAsia="Times New Roman" w:hAnsi="Times New Roman"/>
          <w:sz w:val="19"/>
          <w:szCs w:val="19"/>
          <w:color w:val="auto"/>
        </w:rPr>
      </w:pPr>
    </w:p>
    <w:p>
      <w:pPr>
        <w:jc w:val="both"/>
        <w:ind w:left="640" w:firstLine="1270"/>
        <w:spacing w:after="0" w:line="251" w:lineRule="auto"/>
        <w:tabs>
          <w:tab w:leader="none" w:pos="2368"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subsequent issuance or transfer of Equity Interests that results in any such Indebtedness being held by a Person other than the Issuer or a Restricted Subsidiary of the Issuer and (ii) any sale or other transfer of any such Indebtedness to a Person that is not either the Issuer or a Restricted Subsidiary of the Issuer,</w:t>
      </w:r>
    </w:p>
    <w:p>
      <w:pPr>
        <w:spacing w:after="0" w:line="14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will be deemed, in each case, to constitute an incurrence of such Indebtedness by the Issuer or such Restricted Subsidiary, as the case may be, that was not permitted by this clause (6);</w:t>
      </w:r>
    </w:p>
    <w:p>
      <w:pPr>
        <w:spacing w:after="0" w:line="131" w:lineRule="exact"/>
        <w:rPr>
          <w:sz w:val="20"/>
          <w:szCs w:val="20"/>
          <w:color w:val="auto"/>
        </w:rPr>
      </w:pPr>
    </w:p>
    <w:p>
      <w:pPr>
        <w:ind w:firstLine="1274"/>
        <w:spacing w:after="0" w:line="270" w:lineRule="auto"/>
        <w:tabs>
          <w:tab w:leader="none" w:pos="1725"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issuance by any of the Issuer’s Restricted Subsidiaries to the Issuer or to any of its Restricted Subsidiaries of any Preferred Stock;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w:t>
      </w:r>
    </w:p>
    <w:p>
      <w:pPr>
        <w:spacing w:after="0" w:line="117" w:lineRule="exact"/>
        <w:rPr>
          <w:rFonts w:ascii="Times New Roman" w:cs="Times New Roman" w:eastAsia="Times New Roman" w:hAnsi="Times New Roman"/>
          <w:sz w:val="19"/>
          <w:szCs w:val="19"/>
          <w:color w:val="auto"/>
        </w:rPr>
      </w:pPr>
    </w:p>
    <w:p>
      <w:pPr>
        <w:ind w:left="640" w:firstLine="1270"/>
        <w:spacing w:after="0" w:line="270" w:lineRule="auto"/>
        <w:tabs>
          <w:tab w:leader="none" w:pos="2384"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subsequent issuance or transfer of Equity Interests that results in any such Preferred Stock being held by a Person other than the Issuer or a Restricted Subsidiary of the Issuer; and</w:t>
      </w:r>
    </w:p>
    <w:p>
      <w:pPr>
        <w:spacing w:after="0" w:line="131" w:lineRule="exact"/>
        <w:rPr>
          <w:rFonts w:ascii="Times New Roman" w:cs="Times New Roman" w:eastAsia="Times New Roman" w:hAnsi="Times New Roman"/>
          <w:sz w:val="19"/>
          <w:szCs w:val="19"/>
          <w:color w:val="auto"/>
        </w:rPr>
      </w:pPr>
    </w:p>
    <w:p>
      <w:pPr>
        <w:ind w:left="640" w:firstLine="1270"/>
        <w:spacing w:after="0" w:line="270" w:lineRule="auto"/>
        <w:tabs>
          <w:tab w:leader="none" w:pos="2489"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sale or other transfer of any such Preferred Stock to a Person that is not either the Issuer or a Restricted Subsidiary of the Issuer,</w:t>
      </w:r>
    </w:p>
    <w:p>
      <w:pPr>
        <w:spacing w:after="0" w:line="1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will be deemed, in each case, to constitute an issuance of such Preferred Stock by such Restricted Subsidiary that was not permitted by this clause (7);</w:t>
      </w:r>
    </w:p>
    <w:p>
      <w:pPr>
        <w:spacing w:after="0" w:line="91" w:lineRule="exact"/>
        <w:rPr>
          <w:sz w:val="20"/>
          <w:szCs w:val="20"/>
          <w:color w:val="auto"/>
        </w:rPr>
      </w:pPr>
    </w:p>
    <w:p>
      <w:pPr>
        <w:ind w:left="1700" w:hanging="426"/>
        <w:spacing w:after="0"/>
        <w:tabs>
          <w:tab w:leader="none" w:pos="170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of its Restricted Subsidiaries of Hedging Obligations;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69" w:lineRule="exact"/>
        <w:rPr>
          <w:rFonts w:ascii="Times New Roman" w:cs="Times New Roman" w:eastAsia="Times New Roman" w:hAnsi="Times New Roman"/>
          <w:sz w:val="19"/>
          <w:szCs w:val="19"/>
          <w:color w:val="auto"/>
        </w:rPr>
      </w:pPr>
    </w:p>
    <w:p>
      <w:pPr>
        <w:ind w:left="48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70</w:t>
      </w:r>
    </w:p>
    <w:p>
      <w:pPr>
        <w:sectPr>
          <w:pgSz w:w="11900" w:h="16838" w:orient="portrait"/>
          <w:cols w:equalWidth="0" w:num="1">
            <w:col w:w="10600"/>
          </w:cols>
          <w:pgMar w:left="960" w:top="1440" w:right="339" w:bottom="1440" w:gutter="0" w:footer="0" w:header="0"/>
        </w:sectPr>
      </w:pPr>
    </w:p>
    <w:bookmarkStart w:id="83" w:name="page84"/>
    <w:bookmarkEnd w:id="83"/>
    <w:p>
      <w:pPr>
        <w:spacing w:after="0" w:line="148" w:lineRule="exact"/>
        <w:rPr>
          <w:sz w:val="20"/>
          <w:szCs w:val="20"/>
          <w:color w:val="auto"/>
        </w:rPr>
      </w:pPr>
    </w:p>
    <w:p>
      <w:pPr>
        <w:jc w:val="both"/>
        <w:ind w:left="-480" w:firstLine="1274"/>
        <w:spacing w:after="0" w:line="242" w:lineRule="auto"/>
        <w:tabs>
          <w:tab w:leader="none" w:pos="121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guarantee by the Issuer or any of the Guarantors of Indebtedness of the Issuer or a Restricted Subsidiary of the Issuer to the extent that the guaranteed Indebtedness was permitted to be incurred by another provision of this Section 4.09;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Indebtedness being guaranteed is subordinated to or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Notes, then the guarantee must be subordinated or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as applicable, to the same extent as the Indebtedness guaranteed, and if the guarantee is by a Restricted Subsidiary that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a Guarantor, the Indebtedness guaranteed could have otherwise been incurred by such Restricted Subsidiary under this Section 4.09;</w:t>
      </w:r>
    </w:p>
    <w:p>
      <w:pPr>
        <w:spacing w:after="0" w:line="144" w:lineRule="exact"/>
        <w:rPr>
          <w:rFonts w:ascii="Times New Roman" w:cs="Times New Roman" w:eastAsia="Times New Roman" w:hAnsi="Times New Roman"/>
          <w:sz w:val="19"/>
          <w:szCs w:val="19"/>
          <w:color w:val="auto"/>
        </w:rPr>
      </w:pPr>
    </w:p>
    <w:p>
      <w:pPr>
        <w:jc w:val="both"/>
        <w:ind w:left="-480" w:firstLine="1274"/>
        <w:spacing w:after="0" w:line="242" w:lineRule="auto"/>
        <w:tabs>
          <w:tab w:leader="none" w:pos="1395"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of its Restricted Subsidiaries of Indebtedness in respect of self-insurance obligations or bid, plugging and abandonment, appeal, reimbursement, performance, surety and similar bonds and completion guarantees issued or provided by, or for the account of, the Issuer or a Restricted Subsidiary in the ordinary course of business and any guarantees or obligations with respect to letters of credit functioning as or supporting any of the foregoing bonds or obligations and workers’ compensation claims in the ordinary course of business;</w:t>
      </w:r>
    </w:p>
    <w:p>
      <w:pPr>
        <w:spacing w:after="0" w:line="157" w:lineRule="exact"/>
        <w:rPr>
          <w:rFonts w:ascii="Times New Roman" w:cs="Times New Roman" w:eastAsia="Times New Roman" w:hAnsi="Times New Roman"/>
          <w:sz w:val="19"/>
          <w:szCs w:val="19"/>
          <w:color w:val="auto"/>
        </w:rPr>
      </w:pPr>
    </w:p>
    <w:p>
      <w:pPr>
        <w:jc w:val="both"/>
        <w:ind w:left="-480" w:firstLine="1274"/>
        <w:spacing w:after="0" w:line="251" w:lineRule="auto"/>
        <w:tabs>
          <w:tab w:leader="none" w:pos="1331"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49" w:lineRule="exact"/>
        <w:rPr>
          <w:rFonts w:ascii="Times New Roman" w:cs="Times New Roman" w:eastAsia="Times New Roman" w:hAnsi="Times New Roman"/>
          <w:sz w:val="19"/>
          <w:szCs w:val="19"/>
          <w:color w:val="auto"/>
        </w:rPr>
      </w:pPr>
    </w:p>
    <w:p>
      <w:pPr>
        <w:ind w:left="-480" w:firstLine="1274"/>
        <w:spacing w:after="0" w:line="270" w:lineRule="auto"/>
        <w:tabs>
          <w:tab w:leader="none" w:pos="1327"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of its Restricted Subsidiaries of in-kind obligations relating to net oil, natural gas liquid or natural gas balancing positions arising in the ordinary course of business;</w:t>
      </w:r>
    </w:p>
    <w:p>
      <w:pPr>
        <w:spacing w:after="0" w:line="117" w:lineRule="exact"/>
        <w:rPr>
          <w:rFonts w:ascii="Times New Roman" w:cs="Times New Roman" w:eastAsia="Times New Roman" w:hAnsi="Times New Roman"/>
          <w:sz w:val="19"/>
          <w:szCs w:val="19"/>
          <w:color w:val="auto"/>
        </w:rPr>
      </w:pPr>
    </w:p>
    <w:p>
      <w:pPr>
        <w:jc w:val="both"/>
        <w:ind w:left="-480" w:firstLine="1274"/>
        <w:spacing w:after="0" w:line="242" w:lineRule="auto"/>
        <w:tabs>
          <w:tab w:leader="none" w:pos="133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incurrence of any obligation arising from agreements of the Issuer or any Restricted Subsidiary of the Issuer providing for indemnification, guarantees (other than guarantees of Indebtedness), adjustment of purchase price, holdbacks, earn outs or similar obligations, in each case, incurred or assumed in connection with the disposition or acquisition of any business, assets or Capital Stock of a Restricted Subsidiary in a transaction permitted by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obligation is not reflected on the face of the balance sheet of the Issuer or any Restricted Subsidiary;</w:t>
      </w:r>
    </w:p>
    <w:p>
      <w:pPr>
        <w:spacing w:after="0" w:line="157" w:lineRule="exact"/>
        <w:rPr>
          <w:rFonts w:ascii="Times New Roman" w:cs="Times New Roman" w:eastAsia="Times New Roman" w:hAnsi="Times New Roman"/>
          <w:sz w:val="19"/>
          <w:szCs w:val="19"/>
          <w:color w:val="auto"/>
        </w:rPr>
      </w:pPr>
    </w:p>
    <w:p>
      <w:pPr>
        <w:jc w:val="both"/>
        <w:ind w:left="-480" w:firstLine="1274"/>
        <w:spacing w:after="0" w:line="251" w:lineRule="auto"/>
        <w:tabs>
          <w:tab w:leader="none" w:pos="132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pledge of (or a guarantee limited in recourse solely to) Equity Interests in an Unrestricted Subsidiary or Joint Venture held by the Issuer or a Restricted Subsidiary to secure Indebtedness of such Unrestricted Subsidiary or Joint Venture and solely to the extent such Indebtedness constitutes Non-Recourse Debt;</w:t>
      </w:r>
    </w:p>
    <w:p>
      <w:pPr>
        <w:spacing w:after="0" w:line="149" w:lineRule="exact"/>
        <w:rPr>
          <w:rFonts w:ascii="Times New Roman" w:cs="Times New Roman" w:eastAsia="Times New Roman" w:hAnsi="Times New Roman"/>
          <w:sz w:val="19"/>
          <w:szCs w:val="19"/>
          <w:color w:val="auto"/>
        </w:rPr>
      </w:pPr>
    </w:p>
    <w:p>
      <w:pPr>
        <w:ind w:left="1320" w:hanging="526"/>
        <w:spacing w:after="0"/>
        <w:tabs>
          <w:tab w:leader="none" w:pos="132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its Restricted Subsidiaries of Permitted Acquisition Indebtedness;</w:t>
      </w:r>
    </w:p>
    <w:p>
      <w:pPr>
        <w:spacing w:after="0" w:line="179" w:lineRule="exact"/>
        <w:rPr>
          <w:rFonts w:ascii="Times New Roman" w:cs="Times New Roman" w:eastAsia="Times New Roman" w:hAnsi="Times New Roman"/>
          <w:sz w:val="19"/>
          <w:szCs w:val="19"/>
          <w:color w:val="auto"/>
        </w:rPr>
      </w:pPr>
    </w:p>
    <w:p>
      <w:pPr>
        <w:jc w:val="both"/>
        <w:ind w:left="-480" w:firstLine="1274"/>
        <w:spacing w:after="0" w:line="270" w:lineRule="auto"/>
        <w:tabs>
          <w:tab w:leader="none" w:pos="147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its Restricted Subsidiaries of Indebtedness consisting of the financing of insurance premiums in customary amounts consistent with the operations and business of the Issuer and the Restricted Subsidiaries; and</w:t>
      </w:r>
    </w:p>
    <w:p>
      <w:pPr>
        <w:spacing w:after="0" w:line="131" w:lineRule="exact"/>
        <w:rPr>
          <w:rFonts w:ascii="Times New Roman" w:cs="Times New Roman" w:eastAsia="Times New Roman" w:hAnsi="Times New Roman"/>
          <w:sz w:val="19"/>
          <w:szCs w:val="19"/>
          <w:color w:val="auto"/>
        </w:rPr>
      </w:pPr>
    </w:p>
    <w:p>
      <w:pPr>
        <w:jc w:val="both"/>
        <w:ind w:left="-480" w:firstLine="1274"/>
        <w:spacing w:after="0" w:line="251" w:lineRule="auto"/>
        <w:tabs>
          <w:tab w:leader="none" w:pos="132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by the Issuer or any Restricted Subsidiary of additional Indebtedness or the issuance by the Issuer of any Disqualified Stock or by any Restricted Subsidiary of Preferred Stock in an aggregate principal amount, when taken together with the outstanding amount of all other Indebtedness incurred or Disqualified Stock or Preferred Stock issued pursuant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71</w:t>
      </w:r>
    </w:p>
    <w:p>
      <w:pPr>
        <w:sectPr>
          <w:pgSz w:w="11900" w:h="16838" w:orient="portrait"/>
          <w:cols w:equalWidth="0" w:num="1">
            <w:col w:w="10120"/>
          </w:cols>
          <w:pgMar w:left="1440" w:top="1440" w:right="339" w:bottom="1440" w:gutter="0" w:footer="0" w:header="0"/>
        </w:sectPr>
      </w:pPr>
    </w:p>
    <w:bookmarkStart w:id="84" w:name="page85"/>
    <w:bookmarkEnd w:id="84"/>
    <w:p>
      <w:pPr>
        <w:spacing w:after="0" w:line="148" w:lineRule="exact"/>
        <w:rPr>
          <w:sz w:val="20"/>
          <w:szCs w:val="20"/>
          <w:color w:val="auto"/>
        </w:rPr>
      </w:pPr>
    </w:p>
    <w:p>
      <w:pPr>
        <w:ind w:left="640"/>
        <w:spacing w:after="0" w:line="270" w:lineRule="auto"/>
        <w:rPr>
          <w:sz w:val="20"/>
          <w:szCs w:val="20"/>
          <w:color w:val="auto"/>
        </w:rPr>
      </w:pPr>
      <w:r>
        <w:rPr>
          <w:rFonts w:ascii="Times New Roman" w:cs="Times New Roman" w:eastAsia="Times New Roman" w:hAnsi="Times New Roman"/>
          <w:sz w:val="19"/>
          <w:szCs w:val="19"/>
          <w:color w:val="auto"/>
        </w:rPr>
        <w:t>to this clause (17), not to exceed the greater of (i) $150.0 million and (ii) 5.0% of Adjusted Consolidated Net Tangible Assets determined on the date of such incurrence or issuance.</w:t>
      </w:r>
    </w:p>
    <w:p>
      <w:pPr>
        <w:spacing w:after="0" w:line="118"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 xml:space="preserve">Indebtedness permitted by this Section 4.09 need not be permitted solely by reference to one provision permitting such Indebtedness or Disqualified Stock or Preferred Stock but may be permitted in part by one such provision and in part by one or more other provisions of this Section 4.09. For purposes of determining compliance with this Section 4.09, in the event that an item of Indebtedness or Disqualified Stock or Preferred Stock meets the criteria of more than one of the categories of Permitted Debt described in clauses (1) through (17) of Section 4.09(b), or is entitled to be incurred pursuant to Section 4.09(a), the Issuer will be permitted to divide, classify and reclassify such item of Indebtedness or Disqualified Stock or Preferred Stock on the date of its incurrence or issuance, or later redivide or reclassify all or a portion of such item of Indebtedness or Disqualified Stock or Preferred Stock, in any manner (including by dividing and classifying such item of Indebtedness or Disqualified Stock or Preferred Stock in more than one type of Indebtedness or Disqualified Stock or Preferred Stock permitted under this Section 4.09) that complies with this Section 4.09;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Indebtedness outstanding under Credit Facilities on the Issue Date shall be considered incurred under clause (1) of Section 4.09(b) and may not be reclassified.</w:t>
      </w:r>
    </w:p>
    <w:p>
      <w:pPr>
        <w:spacing w:after="0" w:line="161"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9"/>
          <w:szCs w:val="19"/>
          <w:color w:val="auto"/>
        </w:rPr>
        <w:t xml:space="preserve">The dollar equivalent principal amount of any Indebtedness denominated in a foreign currency and incurred pursuant to any dollar-denominated restriction on the incurrence of Indebtedness shall be calculated based on the relevant exchange rates in effect at the time of incurrence, in the case of term Indebtedness, or first committed, in the case of revolving credit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60"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Notwithstanding any other provision of this Section 4.09, the maximum amount of Indebtedness that the Issuer and the Restricted Subsidiaries may incur pursuant to this Section 4.09 shall not be deemed to be exceeded solely as a result of fluctuations in the exchange rates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144"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19"/>
          <w:szCs w:val="19"/>
          <w:color w:val="auto"/>
        </w:rPr>
        <w:t xml:space="preserve">The accrual of interest or Preferred Stock dividends, the accretion or amortization of original issue discount, the payment of interest on any Indebtedness or on the Notes in the form of additional Indebtedness with the same term and the payment of dividends on Preferred Stock or Disqualified Stock in the form of additional securities of the same class of Preferred Stock or Disqualified Stock will not be deemed to be an incurrence of Indebtedness or an issuance of Preferred Stock or Disqualified Stock for purposes of this Section 4.09;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amount thereof is included in Fixed Charges of the Issuer as accrued to the extent required by the definition of such term. For purposes of this Section 4.09, (i) the accrual of an obligation to pay a premium in respect of Indebtedness or Disqualified Stock or Preferred Stock arising in connection with the issuance of a notice of redemption or making of a mandatory offer to purchase such Indebtedness or Disqualified Stock or Preferred Stock, and (ii) unrealized losses or charges in respect of Hedging Agreements (including those resulting from the application of FASB ASC Topic No. 815, </w:t>
      </w:r>
      <w:r>
        <w:rPr>
          <w:rFonts w:ascii="Times New Roman" w:cs="Times New Roman" w:eastAsia="Times New Roman" w:hAnsi="Times New Roman"/>
          <w:sz w:val="19"/>
          <w:szCs w:val="19"/>
          <w:i w:val="1"/>
          <w:iCs w:val="1"/>
          <w:color w:val="auto"/>
        </w:rPr>
        <w:t>Derivatives and Hedging</w:t>
      </w:r>
      <w:r>
        <w:rPr>
          <w:rFonts w:ascii="Times New Roman" w:cs="Times New Roman" w:eastAsia="Times New Roman" w:hAnsi="Times New Roman"/>
          <w:sz w:val="19"/>
          <w:szCs w:val="19"/>
          <w:color w:val="auto"/>
        </w:rPr>
        <w:t>) will, in the case of (i) or (ii), not be deemed to be an incurrence of Indebtedness or Disqualified Stock or Preferred Stock. Further, the accounting reclassification of any obligation or Disqualified Stock or Preferred Stock of the Issuer or any of its Restricted Subsidiaries as Indebtedness or Disqualified Stock or Preferred Stock will not be deemed an incurrence of Indebtedness or issuance of Disqualified Stock or Preferred Stock for purposes of this Section 4.09.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8"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The “amount” or “principal amount” of any Indebtedness or Preferred Stock or Disqualified Stock outstanding at any time of determination as used herein shall be as set forth below or, if not set forth below, determined in accordance with GAAP:</w:t>
      </w:r>
    </w:p>
    <w:p>
      <w:pPr>
        <w:spacing w:after="0" w:line="118" w:lineRule="exact"/>
        <w:rPr>
          <w:sz w:val="20"/>
          <w:szCs w:val="20"/>
          <w:color w:val="auto"/>
        </w:rPr>
      </w:pPr>
    </w:p>
    <w:p>
      <w:pPr>
        <w:ind w:left="1420" w:hanging="460"/>
        <w:spacing w:after="0"/>
        <w:tabs>
          <w:tab w:leader="none" w:pos="142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accreted value of the Indebtedness, in the case of any Indebtedness issued with original issue discount;</w:t>
      </w:r>
    </w:p>
    <w:p>
      <w:pPr>
        <w:spacing w:after="0" w:line="192" w:lineRule="exact"/>
        <w:rPr>
          <w:rFonts w:ascii="Times New Roman" w:cs="Times New Roman" w:eastAsia="Times New Roman" w:hAnsi="Times New Roman"/>
          <w:sz w:val="19"/>
          <w:szCs w:val="19"/>
          <w:color w:val="auto"/>
        </w:rPr>
      </w:pPr>
    </w:p>
    <w:p>
      <w:pPr>
        <w:ind w:left="1420" w:hanging="460"/>
        <w:spacing w:after="0"/>
        <w:tabs>
          <w:tab w:leader="none" w:pos="142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the Indebtedness, in the case of any other Indebtedness;</w:t>
      </w:r>
    </w:p>
    <w:p>
      <w:pPr>
        <w:spacing w:after="0" w:line="192" w:lineRule="exact"/>
        <w:rPr>
          <w:rFonts w:ascii="Times New Roman" w:cs="Times New Roman" w:eastAsia="Times New Roman" w:hAnsi="Times New Roman"/>
          <w:sz w:val="19"/>
          <w:szCs w:val="19"/>
          <w:color w:val="auto"/>
        </w:rPr>
      </w:pPr>
    </w:p>
    <w:p>
      <w:pPr>
        <w:ind w:left="1420" w:hanging="460"/>
        <w:spacing w:after="0"/>
        <w:tabs>
          <w:tab w:leader="none" w:pos="142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Indebtedness of another Person secured by a Lien on the assets of the specified Person, the lesser of:</w:t>
      </w:r>
    </w:p>
    <w:p>
      <w:pPr>
        <w:spacing w:after="0" w:line="179" w:lineRule="exact"/>
        <w:rPr>
          <w:rFonts w:ascii="Times New Roman" w:cs="Times New Roman" w:eastAsia="Times New Roman" w:hAnsi="Times New Roman"/>
          <w:sz w:val="19"/>
          <w:szCs w:val="19"/>
          <w:color w:val="auto"/>
        </w:rPr>
      </w:pPr>
    </w:p>
    <w:p>
      <w:pPr>
        <w:ind w:left="3560" w:hanging="374"/>
        <w:spacing w:after="0"/>
        <w:tabs>
          <w:tab w:leader="none" w:pos="356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Market Value of such assets at the date of determination; and</w:t>
      </w:r>
    </w:p>
    <w:p>
      <w:pPr>
        <w:spacing w:after="0" w:line="192" w:lineRule="exact"/>
        <w:rPr>
          <w:rFonts w:ascii="Times New Roman" w:cs="Times New Roman" w:eastAsia="Times New Roman" w:hAnsi="Times New Roman"/>
          <w:sz w:val="19"/>
          <w:szCs w:val="19"/>
          <w:color w:val="auto"/>
        </w:rPr>
      </w:pPr>
    </w:p>
    <w:p>
      <w:pPr>
        <w:ind w:left="3620" w:hanging="434"/>
        <w:spacing w:after="0"/>
        <w:tabs>
          <w:tab w:leader="none" w:pos="362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the Indebtedness of the other Person;</w:t>
      </w:r>
    </w:p>
    <w:p>
      <w:pPr>
        <w:spacing w:after="0" w:line="192" w:lineRule="exact"/>
        <w:rPr>
          <w:rFonts w:ascii="Times New Roman" w:cs="Times New Roman" w:eastAsia="Times New Roman" w:hAnsi="Times New Roman"/>
          <w:sz w:val="19"/>
          <w:szCs w:val="19"/>
          <w:color w:val="auto"/>
        </w:rPr>
      </w:pPr>
    </w:p>
    <w:p>
      <w:pPr>
        <w:ind w:left="1420" w:hanging="460"/>
        <w:spacing w:after="0"/>
        <w:tabs>
          <w:tab w:leader="none" w:pos="142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Finance Lease Obligation, the amount determined in accordance with the definition thereof;</w:t>
      </w:r>
    </w:p>
    <w:p>
      <w:pPr>
        <w:spacing w:after="0" w:line="179" w:lineRule="exact"/>
        <w:rPr>
          <w:rFonts w:ascii="Times New Roman" w:cs="Times New Roman" w:eastAsia="Times New Roman" w:hAnsi="Times New Roman"/>
          <w:sz w:val="19"/>
          <w:szCs w:val="19"/>
          <w:color w:val="auto"/>
        </w:rPr>
      </w:pPr>
    </w:p>
    <w:p>
      <w:pPr>
        <w:ind w:left="1600" w:hanging="640"/>
        <w:spacing w:after="0" w:line="251" w:lineRule="auto"/>
        <w:tabs>
          <w:tab w:leader="none" w:pos="1437"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Preferred Stock, (x) if other than Disqualified Stock, the greater of its voluntary or involuntary liquidation preference and its maximum fixed redemption price or repurchase price or (y) if Disqualified Stock, as specified in the definition thereof;</w:t>
      </w:r>
    </w:p>
    <w:p>
      <w:pPr>
        <w:spacing w:after="0" w:line="149" w:lineRule="exact"/>
        <w:rPr>
          <w:rFonts w:ascii="Times New Roman" w:cs="Times New Roman" w:eastAsia="Times New Roman" w:hAnsi="Times New Roman"/>
          <w:sz w:val="19"/>
          <w:szCs w:val="19"/>
          <w:color w:val="auto"/>
        </w:rPr>
      </w:pPr>
    </w:p>
    <w:p>
      <w:pPr>
        <w:ind w:left="1400" w:hanging="440"/>
        <w:spacing w:after="0"/>
        <w:tabs>
          <w:tab w:leader="none" w:pos="140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Interest Rate Agreements included in Section 4.09(b), zero;</w:t>
      </w:r>
    </w:p>
    <w:p>
      <w:pPr>
        <w:spacing w:after="0" w:line="192" w:lineRule="exact"/>
        <w:rPr>
          <w:rFonts w:ascii="Times New Roman" w:cs="Times New Roman" w:eastAsia="Times New Roman" w:hAnsi="Times New Roman"/>
          <w:sz w:val="19"/>
          <w:szCs w:val="19"/>
          <w:color w:val="auto"/>
        </w:rPr>
      </w:pPr>
    </w:p>
    <w:p>
      <w:pPr>
        <w:ind w:left="1600" w:hanging="640"/>
        <w:spacing w:after="0" w:line="255" w:lineRule="auto"/>
        <w:tabs>
          <w:tab w:leader="none" w:pos="1478"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all other unconditional obligations, the amount of the liability thereof determined in accordance with GAAP; and</w:t>
      </w:r>
    </w:p>
    <w:p>
      <w:pPr>
        <w:spacing w:after="0" w:line="377" w:lineRule="exact"/>
        <w:rPr>
          <w:rFonts w:ascii="Times New Roman" w:cs="Times New Roman" w:eastAsia="Times New Roman" w:hAnsi="Times New Roman"/>
          <w:sz w:val="19"/>
          <w:szCs w:val="19"/>
          <w:color w:val="auto"/>
        </w:rPr>
      </w:pPr>
    </w:p>
    <w:p>
      <w:pPr>
        <w:ind w:left="1420" w:hanging="460"/>
        <w:spacing w:after="0"/>
        <w:tabs>
          <w:tab w:leader="none" w:pos="142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all other contingent obligations, the maximum liability at such date of such Person.</w:t>
      </w:r>
    </w:p>
    <w:p>
      <w:pPr>
        <w:spacing w:after="0" w:line="192"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For purposes of determining any particular amount of Indebtedness, (i) guarantees of, or obligations in respect of letters of credit relating to, Indebtedness otherwise included in the determination of such amount shall not also be included and (ii) if obligations in respect of letters of credit are incurred pursuant to a Credit Facility and are being treated as incurred pursuant to clause (1) of Section 4.09(b) and the letters of credit relate to other Indebtedness, then the amount of such other Indebtedness equal to the face amount of such letters of credit shall not be included. If Indebtedness is secured by a letter of credit that serves only to secure such Indebtedness, then the total amount deemed incurred shall be equal to the greater of (x) the principal of such Indebtedness and (y) the amount that may be drawn under such letter of credit.</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4.10</w:t>
      </w:r>
      <w:r>
        <w:rPr>
          <w:sz w:val="20"/>
          <w:szCs w:val="20"/>
          <w:color w:val="auto"/>
        </w:rPr>
        <w:tab/>
      </w:r>
      <w:r>
        <w:rPr>
          <w:rFonts w:ascii="Times New Roman" w:cs="Times New Roman" w:eastAsia="Times New Roman" w:hAnsi="Times New Roman"/>
          <w:sz w:val="19"/>
          <w:szCs w:val="19"/>
          <w:i w:val="1"/>
          <w:iCs w:val="1"/>
          <w:color w:val="auto"/>
        </w:rPr>
        <w:t>Asset Sales.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Issuer will not, and will not permit any of its Restricted Subsidiaries to, consummate an Asset Sale unless:</w:t>
      </w:r>
    </w:p>
    <w:p>
      <w:pPr>
        <w:spacing w:after="0" w:line="192" w:lineRule="exact"/>
        <w:rPr>
          <w:sz w:val="20"/>
          <w:szCs w:val="20"/>
          <w:color w:val="auto"/>
        </w:rPr>
      </w:pPr>
    </w:p>
    <w:p>
      <w:pPr>
        <w:jc w:val="both"/>
        <w:ind w:firstLine="1278"/>
        <w:spacing w:after="0" w:line="251" w:lineRule="auto"/>
        <w:tabs>
          <w:tab w:leader="none" w:pos="168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(or a Restricted Subsidiary, as the case may be) receives consideration at the time of the Asset Sale at least equal to the Fair Market Value (measured within 15 days of the definitive agreement with respect to such Asset Sale) of the assets or Equity Interests issued or sold or otherwise disposed of;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8" w:lineRule="exact"/>
        <w:rPr>
          <w:sz w:val="20"/>
          <w:szCs w:val="20"/>
          <w:color w:val="auto"/>
        </w:rPr>
      </w:pPr>
    </w:p>
    <w:p>
      <w:pPr>
        <w:ind w:right="20" w:firstLine="1278"/>
        <w:spacing w:after="0" w:line="270" w:lineRule="auto"/>
        <w:tabs>
          <w:tab w:leader="none" w:pos="1695"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75% of the aggregate consideration received in the Asset Sale by the Issuer or a Restricted Subsidiary and all other Asset Sales since the Issue Date is in the form of cash or Cash Equivalents.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For purposes of this provision, each of the following will be deemed to be cash:</w:t>
      </w:r>
    </w:p>
    <w:p>
      <w:pPr>
        <w:spacing w:after="0" w:line="192" w:lineRule="exact"/>
        <w:rPr>
          <w:sz w:val="20"/>
          <w:szCs w:val="20"/>
          <w:color w:val="auto"/>
        </w:rPr>
      </w:pPr>
    </w:p>
    <w:p>
      <w:pPr>
        <w:jc w:val="both"/>
        <w:ind w:left="640" w:firstLine="1274"/>
        <w:spacing w:after="0"/>
        <w:tabs>
          <w:tab w:leader="none" w:pos="2401"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liabilities, as shown on the Issuer’s most recent consolidated balance sheet, of the Issuer or any Restricted Subsidiary (other than contingent liabilities and liabilities that are by their terms subordinated to the Notes or any Guarantee) that are assumed by the transferee of any such assets pursuant to a novation or indemnity agreement that releases the Issuer or such Restricted Subsidiary from or indemnifies against further liability (or in lieu of such absence of liability, the acquiring Person or its parent company agrees to indemnify and hold the Issuer or such Restricted Subsidiary harmless from and against any loss, liability or cost in respect of such assumed liabilities);</w:t>
      </w:r>
    </w:p>
    <w:p>
      <w:pPr>
        <w:spacing w:after="0" w:line="159"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77"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Asset Sale of oil and gas properties by the Issuer or any of its Restricted Subsidiaries where the Issuer or such Restricted Subsidiary retains an interest in such property, the costs and expenses of the Issuer or such Restricted Subsidiary related to the exploration, development, completion or production of such properties and activities related thereto that the transferee (or an Affiliate thereof) agrees to pay;</w:t>
      </w:r>
    </w:p>
    <w:p>
      <w:pPr>
        <w:spacing w:after="0" w:line="141"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49"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securities, Notes or other obligations received by the Issuer or any Restricted Subsidiary from such transferee that are, within 180 days of the Asset Sale, converted by the Issuer or such Restricted Subsidiary into cash, to the extent of the cash received in that conversion;</w:t>
      </w:r>
    </w:p>
    <w:p>
      <w:pPr>
        <w:spacing w:after="0" w:line="149" w:lineRule="exact"/>
        <w:rPr>
          <w:rFonts w:ascii="Times New Roman" w:cs="Times New Roman" w:eastAsia="Times New Roman" w:hAnsi="Times New Roman"/>
          <w:sz w:val="19"/>
          <w:szCs w:val="19"/>
          <w:color w:val="auto"/>
        </w:rPr>
      </w:pPr>
    </w:p>
    <w:p>
      <w:pPr>
        <w:ind w:left="2320" w:hanging="406"/>
        <w:spacing w:after="0"/>
        <w:tabs>
          <w:tab w:leader="none" w:pos="232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Assets; and</w:t>
      </w:r>
    </w:p>
    <w:p>
      <w:pPr>
        <w:spacing w:after="0" w:line="192"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38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Designated Non-cash Consideration received by the Issuer or such Restricted Subsidiary in such Asset Sale having an aggregate Fair Market Value, taken together with all other Designated Non-cash Consideration received pursuant to this clause (5), not to exceed an amount equal to 5.0% of the Issuer’s Adjusted Consolidated Net Tangible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44" w:lineRule="exact"/>
        <w:rPr>
          <w:rFonts w:ascii="Times New Roman" w:cs="Times New Roman" w:eastAsia="Times New Roman" w:hAnsi="Times New Roman"/>
          <w:sz w:val="19"/>
          <w:szCs w:val="19"/>
          <w:color w:val="auto"/>
        </w:rPr>
      </w:pPr>
    </w:p>
    <w:p>
      <w:pPr>
        <w:ind w:firstLine="1278"/>
        <w:spacing w:after="0" w:line="270" w:lineRule="auto"/>
        <w:tabs>
          <w:tab w:leader="none" w:pos="17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365 days after the receipt of any Net Proceeds from an Asset Sale, the Issuer (or any Restricted Subsidiary) may apply such Net Proceeds at its option to any combination of the following:</w:t>
      </w:r>
    </w:p>
    <w:p>
      <w:pPr>
        <w:spacing w:after="0" w:line="131"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repay, redeem or repurchase any Senior Debt;</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invest in or acquire Additional Assets; or</w:t>
      </w:r>
    </w:p>
    <w:p>
      <w:pPr>
        <w:spacing w:after="0" w:line="179"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capital expenditures in respect of the Issuer’s or any Restricted Subsidiaries’ Oil and Gas Business.</w:t>
      </w:r>
    </w:p>
    <w:p>
      <w:pPr>
        <w:spacing w:after="0" w:line="192"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6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 of clause (2) or (3) of Section 4.10(c) shall be deemed to be satisfied if a bona fide binding contract committing to make the investment, acquisition or expenditure referred to therein is entered into by the Issuer (or any Restricted Subsidiary) with a Person other than 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Restricted Subsidiary within the time period specified in Section 4.10(c) and such Net Proceeds are subsequently applied in accordance with such contract within six months following the later of (x) the date such agreement is entered into and (y) the time period specified in the preceding paragraph.</w:t>
      </w:r>
    </w:p>
    <w:p>
      <w:pPr>
        <w:spacing w:after="0" w:line="136" w:lineRule="exact"/>
        <w:rPr>
          <w:sz w:val="20"/>
          <w:szCs w:val="20"/>
          <w:color w:val="auto"/>
        </w:rPr>
      </w:pPr>
    </w:p>
    <w:p>
      <w:pPr>
        <w:ind w:firstLine="1278"/>
        <w:spacing w:after="0" w:line="270" w:lineRule="auto"/>
        <w:tabs>
          <w:tab w:leader="none" w:pos="179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Pending the final application of any Net Proceeds, the Issuer (or any Restricted Subsidiary) may temporarily reduce Indebtedness under any Credit Facility or otherwise expend or invest the Net Proceeds in any manner that is not prohibited by this Indenture.</w:t>
      </w:r>
    </w:p>
    <w:p>
      <w:pPr>
        <w:spacing w:after="0" w:line="129" w:lineRule="exact"/>
        <w:rPr>
          <w:rFonts w:ascii="Times New Roman" w:cs="Times New Roman" w:eastAsia="Times New Roman" w:hAnsi="Times New Roman"/>
          <w:sz w:val="19"/>
          <w:szCs w:val="19"/>
          <w:color w:val="auto"/>
        </w:rPr>
      </w:pPr>
    </w:p>
    <w:p>
      <w:pPr>
        <w:jc w:val="both"/>
        <w:ind w:firstLine="1278"/>
        <w:spacing w:after="0"/>
        <w:tabs>
          <w:tab w:leader="none" w:pos="1677"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Proceeds from Asset Sales that are not applied or invested as provided in Section 4.10(c) will constitute “</w:t>
      </w:r>
      <w:r>
        <w:rPr>
          <w:rFonts w:ascii="Times New Roman" w:cs="Times New Roman" w:eastAsia="Times New Roman" w:hAnsi="Times New Roman"/>
          <w:sz w:val="19"/>
          <w:szCs w:val="19"/>
          <w:i w:val="1"/>
          <w:iCs w:val="1"/>
          <w:color w:val="auto"/>
        </w:rPr>
        <w:t>Excess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Proceeds</w:t>
      </w:r>
      <w:r>
        <w:rPr>
          <w:rFonts w:ascii="Times New Roman" w:cs="Times New Roman" w:eastAsia="Times New Roman" w:hAnsi="Times New Roman"/>
          <w:sz w:val="19"/>
          <w:szCs w:val="19"/>
          <w:color w:val="auto"/>
        </w:rPr>
        <w:t>.” When the aggregate amount of Excess Proceeds exceeds $50.0 million, within five days thereof, the Issuer will make an offer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Asset Sale Offer</w:t>
      </w:r>
      <w:r>
        <w:rPr>
          <w:rFonts w:ascii="Times New Roman" w:cs="Times New Roman" w:eastAsia="Times New Roman" w:hAnsi="Times New Roman"/>
          <w:sz w:val="19"/>
          <w:szCs w:val="19"/>
          <w:color w:val="auto"/>
        </w:rPr>
        <w:t xml:space="preserve">”) to all Holders of Notes and all holders of other Indebtedness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Notes containing provisions similar to those set forth in this Indenture with respect to offers to purchase, prepay or redeem with the proceeds of sales of assets to purchase, prepay or redeem,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(based on principal amounts of Notes and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Indebtedness (or, in the case of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Indebtedness issued with significant original issue discount, based on the accreted value thereof) tendered), the maximum principal amount of Notes and such other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the principal amount, plus accrued and unpaid interest, if any, to, but excluding,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Issuer or any Restricted Subsidiary may use those Excess Proceeds for any purpose not otherwise prohibited by this Indenture. If the aggregate principal amount of Notes tendered in such Asset Sale Offer exceeds the amount of Excess Proceeds allocated to the purchase of Notes, the Trustee will select the Notes to be purchased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(except that any Notes represented by a Note in global form will be selected by such method as DTC or its nominee or successor may require or a method that most nearly approximates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selection as the Trustee deems fair and appropriate and is in accordance with DTC’s applicable procedures), based on the principal amounts tendered (with such adjustments as may be deemed appropriate by the Issuer so that only Notes in minimum denominations of $2,000 and any integral multiple of $1,000 in excess thereof will be purchased). Upon completion of each Asset Sale Offer, the amount of Excess Proceeds will be reset at zero. The Issuer may satisfy the foregoing obligation with respect to any Excess Proceeds by making an Asset Sale Offer prior to the expiration of the relevant 365 day period or with respect to Excess Proceeds of $50.0 million or less.</w:t>
      </w:r>
    </w:p>
    <w:p>
      <w:pPr>
        <w:spacing w:after="0" w:line="289" w:lineRule="exact"/>
        <w:rPr>
          <w:rFonts w:ascii="Times New Roman" w:cs="Times New Roman" w:eastAsia="Times New Roman" w:hAnsi="Times New Roman"/>
          <w:sz w:val="19"/>
          <w:szCs w:val="19"/>
          <w:color w:val="auto"/>
        </w:rPr>
      </w:pPr>
    </w:p>
    <w:p>
      <w:pPr>
        <w:jc w:val="both"/>
        <w:ind w:firstLine="1278"/>
        <w:spacing w:after="0" w:line="242" w:lineRule="auto"/>
        <w:tabs>
          <w:tab w:leader="none" w:pos="174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Section 3.09 or this Section 4.10, the Issuer will comply with the applicable securities laws and regulations and will not be deemed to have breached its obligations under Section 3.09 or this Section 4.10 by virtue of such compliance.</w:t>
      </w:r>
    </w:p>
    <w:p>
      <w:pPr>
        <w:spacing w:after="0" w:line="14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4.11</w:t>
      </w:r>
      <w:r>
        <w:rPr>
          <w:sz w:val="20"/>
          <w:szCs w:val="20"/>
          <w:color w:val="auto"/>
        </w:rPr>
        <w:tab/>
      </w:r>
      <w:r>
        <w:rPr>
          <w:rFonts w:ascii="Times New Roman" w:cs="Times New Roman" w:eastAsia="Times New Roman" w:hAnsi="Times New Roman"/>
          <w:sz w:val="19"/>
          <w:szCs w:val="19"/>
          <w:i w:val="1"/>
          <w:iCs w:val="1"/>
          <w:color w:val="auto"/>
        </w:rPr>
        <w:t>Transactions with Affiliates.</w:t>
      </w:r>
    </w:p>
    <w:p>
      <w:pPr>
        <w:spacing w:after="0" w:line="194" w:lineRule="exact"/>
        <w:rPr>
          <w:sz w:val="20"/>
          <w:szCs w:val="20"/>
          <w:color w:val="auto"/>
        </w:rPr>
      </w:pPr>
    </w:p>
    <w:p>
      <w:pPr>
        <w:jc w:val="both"/>
        <w:ind w:firstLine="1278"/>
        <w:spacing w:after="0" w:line="245" w:lineRule="auto"/>
        <w:tabs>
          <w:tab w:leader="none" w:pos="170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Times New Roman" w:cs="Times New Roman" w:eastAsia="Times New Roman" w:hAnsi="Times New Roman"/>
          <w:sz w:val="19"/>
          <w:szCs w:val="19"/>
          <w:i w:val="1"/>
          <w:iCs w:val="1"/>
          <w:color w:val="auto"/>
        </w:rPr>
        <w:t>Affiliate Transaction</w:t>
      </w:r>
      <w:r>
        <w:rPr>
          <w:rFonts w:ascii="Times New Roman" w:cs="Times New Roman" w:eastAsia="Times New Roman" w:hAnsi="Times New Roman"/>
          <w:sz w:val="19"/>
          <w:szCs w:val="19"/>
          <w:color w:val="auto"/>
        </w:rPr>
        <w:t>”) involving aggregate consideration to or from the Issuer or a Restricted Subsidiary in excess of $10.0 million, unless: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8" w:lineRule="exact"/>
        <w:rPr>
          <w:sz w:val="20"/>
          <w:szCs w:val="20"/>
          <w:color w:val="auto"/>
        </w:rPr>
      </w:pPr>
    </w:p>
    <w:p>
      <w:pPr>
        <w:jc w:val="both"/>
        <w:ind w:left="640" w:firstLine="1274"/>
        <w:spacing w:after="0" w:line="242" w:lineRule="auto"/>
        <w:tabs>
          <w:tab w:leader="none" w:pos="2374"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Affiliate Transaction is on terms that are no less favorable to the Issuer or the relevant Restricted Subsidiary than those that could have been obtained in a comparable transaction by the Issuer or such Restricted Subsidiary with an unrelated Person or, if, as determined in good faith by the Issuer, no comparable transaction is available with which to compare such Affiliate Transaction, such Affiliate Transaction is otherwise fair to the Issuer or the relevant Restricted Subsidiary from a financial point of view; and</w:t>
      </w:r>
    </w:p>
    <w:p>
      <w:pPr>
        <w:spacing w:after="0" w:line="364"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523"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delivers to the Trustee, with respect to any Affiliate Transaction or series of related Affiliate Transactions involving aggregate consideration in excess of $50.0 million, an Officers’ Certificate certifying that such Affiliate Transaction or series of related Affiliate Transactions complies with this Section 4.11 and that such Affiliate Transaction or series of related Affiliate Transactions has been approved by a majority of the members of the Board of Directors of the Issuer and by a majority of the disinterested members of the Board of Directors of the Issuer, if any.</w:t>
      </w:r>
    </w:p>
    <w:p>
      <w:pPr>
        <w:spacing w:after="0" w:line="157"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items will not be deemed to be Affiliate Transactions and, therefore, will not be subject to the provisions of</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4.11(a):</w:t>
      </w:r>
    </w:p>
    <w:p>
      <w:pPr>
        <w:spacing w:after="0" w:line="170"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76"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employment agreement, employee benefit plan, officer or director indemnification agreement or any similar arrangement entered into by the Issuer or any of its Restricted Subsidiaries in the ordinary course of business and payments pursuant thereto;</w:t>
      </w:r>
    </w:p>
    <w:p>
      <w:pPr>
        <w:spacing w:after="0" w:line="136"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between or among the Issuer and/or its Restricted Subsidiaries;</w:t>
      </w:r>
    </w:p>
    <w:p>
      <w:pPr>
        <w:spacing w:after="0" w:line="192" w:lineRule="exact"/>
        <w:rPr>
          <w:rFonts w:ascii="Times New Roman" w:cs="Times New Roman" w:eastAsia="Times New Roman" w:hAnsi="Times New Roman"/>
          <w:sz w:val="19"/>
          <w:szCs w:val="19"/>
          <w:color w:val="auto"/>
        </w:rPr>
      </w:pPr>
    </w:p>
    <w:p>
      <w:pPr>
        <w:ind w:left="640" w:firstLine="1274"/>
        <w:spacing w:after="0" w:line="270" w:lineRule="auto"/>
        <w:tabs>
          <w:tab w:leader="none" w:pos="239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a Person (other than an Unrestricted Subsidiary of the Issuer) that is an Affiliate of the Issuer solely because the Issuer owns, directly or through a Restricted Subsidiary, an Equity Interest in, or controls, such Person;</w:t>
      </w:r>
    </w:p>
    <w:p>
      <w:pPr>
        <w:spacing w:after="0" w:line="131"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62"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reasonable and customary fees and reimbursement of expenses (pursuant to indemnity agreements or otherwise) of, or provision of directors’ and officers’ liability insurance, compensation, indemnification and other benefits to, officers, directors, employees or consultants of the Issuer or any of its Subsidiaries;</w:t>
      </w:r>
    </w:p>
    <w:p>
      <w:pPr>
        <w:spacing w:after="0" w:line="136"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issuance of Equity Interests (other than Disqualified Stock) of the Issuer to Affiliates of the Issuer;</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Payments or Permitted Investments or Permitted Payments that are permitted by Section 4.07;</w:t>
      </w:r>
    </w:p>
    <w:p>
      <w:pPr>
        <w:spacing w:after="0" w:line="192"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423"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transactions between the Issuer or any of its Restricted Subsidiaries and any Person that would not otherwise constitute an Affiliate Transaction except for the fact that one director of such other Person is also a director of the Issuer or such Restricted Subsidiary,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director abstains from voting as a director of the Issuer or such Restricted Subsidiary, as applicable, on any matter involving such other Person;</w:t>
      </w:r>
    </w:p>
    <w:p>
      <w:pPr>
        <w:spacing w:after="0" w:line="141"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37"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in which the Issuer or any of its Restricted Subsidiaries, as the case may be, delivers to the Trustee a letter from an accounting, appraisal, advisory or investment banking firm of national standing stating that such transaction is fair to the Issuer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such Restricted Subsidiary from a financial point of view or that such transaction meets the requirements of Section 4.11(a)(1);</w:t>
      </w:r>
    </w:p>
    <w:p>
      <w:pPr>
        <w:spacing w:after="0" w:line="179" w:lineRule="exact"/>
        <w:rPr>
          <w:sz w:val="20"/>
          <w:szCs w:val="20"/>
          <w:color w:val="auto"/>
        </w:rPr>
      </w:pPr>
    </w:p>
    <w:p>
      <w:pPr>
        <w:jc w:val="both"/>
        <w:ind w:left="640" w:firstLine="1274"/>
        <w:spacing w:after="0" w:line="244" w:lineRule="auto"/>
        <w:tabs>
          <w:tab w:leader="none" w:pos="2416"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guarantees by the Issuer or any of its Restricted Subsidiaries of performance of obligations of the Issuer’s Unrestricted Subsidiaries in the ordinary course of business, except for guarantees of Indebtedness in respect of borrowed money, and</w:t>
      </w:r>
    </w:p>
    <w:p>
      <w:pPr>
        <w:spacing w:after="0" w:line="1" w:lineRule="exact"/>
        <w:rPr>
          <w:rFonts w:ascii="Times New Roman" w:cs="Times New Roman" w:eastAsia="Times New Roman" w:hAnsi="Times New Roman"/>
          <w:sz w:val="19"/>
          <w:szCs w:val="19"/>
          <w:color w:val="auto"/>
        </w:rPr>
      </w:pPr>
    </w:p>
    <w:p>
      <w:pPr>
        <w:jc w:val="both"/>
        <w:ind w:left="640" w:firstLine="2"/>
        <w:spacing w:after="0" w:line="239" w:lineRule="auto"/>
        <w:tabs>
          <w:tab w:leader="none" w:pos="93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by the Issuer or any Restricted Subsidiary of the Issuer of (or any guarantee by the Issuer or any Restricted Subsidiary limited in recourse solely to) Equity Interests in Unrestricted Subsidiaries for the benefit of lenders or other creditors of the Issuer’s Unrestricted Subsidiaries;</w:t>
      </w:r>
    </w:p>
    <w:p>
      <w:pPr>
        <w:spacing w:after="0" w:line="160" w:lineRule="exact"/>
        <w:rPr>
          <w:rFonts w:ascii="Times New Roman" w:cs="Times New Roman" w:eastAsia="Times New Roman" w:hAnsi="Times New Roman"/>
          <w:sz w:val="19"/>
          <w:szCs w:val="19"/>
          <w:color w:val="auto"/>
        </w:rPr>
      </w:pPr>
    </w:p>
    <w:p>
      <w:pPr>
        <w:jc w:val="both"/>
        <w:ind w:left="640" w:firstLine="1274"/>
        <w:spacing w:after="0"/>
        <w:tabs>
          <w:tab w:leader="none" w:pos="2526"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Unrestricted Subsidiaries, customers, clients, suppliers or purchasers or sellers of goods or services, or lessors or lessees of property, in each case in the ordinary course of business and otherwise in compliance with the terms of this Indenture which are, in the aggregate (taking into account all the costs and benefits associated with such transactions), not materially less favorable to the Issuer and its Restricted Subsidiaries than those that would have been obtained in a comparable transaction by the Issuer or such Restricted Subsidiary with an unrelated Person or are on terms at least as favorable as might reasonably have been obtained at such time from an unaffiliated party, in each case, as determined in good faith by the Issuer;</w:t>
      </w:r>
    </w:p>
    <w:p>
      <w:pPr>
        <w:spacing w:after="0" w:line="159" w:lineRule="exact"/>
        <w:rPr>
          <w:rFonts w:ascii="Times New Roman" w:cs="Times New Roman" w:eastAsia="Times New Roman" w:hAnsi="Times New Roman"/>
          <w:sz w:val="19"/>
          <w:szCs w:val="19"/>
          <w:color w:val="auto"/>
        </w:rPr>
      </w:pPr>
    </w:p>
    <w:p>
      <w:pPr>
        <w:jc w:val="both"/>
        <w:ind w:left="640" w:firstLine="1274"/>
        <w:spacing w:after="0"/>
        <w:tabs>
          <w:tab w:leader="none" w:pos="243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(other than purchases or sales of assets) effected in accordance with the terms of (a) any agreements with Affiliates of the Issuer pursuant to agreements in effect on the Issue Date, (b) any amendment or replacement of any of such agreements or (c) any agreement entered into hereafter that is similar to any such agreements, so long as, in the case of clause (b) or (c), the terms of any such amendment or replacement agreement or future agreement, taken as a whole, are no less advantageous to the Issuer or no less favorable to the Holders in any material respect than the agreement so amended or replaced or the similar such agreement, respectively, as determined in good faith by the Issuer; and</w:t>
      </w:r>
    </w:p>
    <w:p>
      <w:pPr>
        <w:spacing w:after="0" w:line="146"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45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contracts for exploring for, producing, marketing, storing or otherwise handling Hydrocarbons, or activities or services reasonably related or ancillary thereto, or other operational contracts, any such contracts entered into in the ordinary course of business and otherwise in compliance with the terms of this Indenture which are fair to the Issuer and its Restricted Subsidiaries, or are on terms at least as favorable as might reasonably have been obtained at such time from an unaffiliated party, in each case, as determined in good faith by the Issuer.</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4.12</w:t>
      </w:r>
      <w:r>
        <w:rPr>
          <w:sz w:val="20"/>
          <w:szCs w:val="20"/>
          <w:color w:val="auto"/>
        </w:rPr>
        <w:tab/>
      </w:r>
      <w:r>
        <w:rPr>
          <w:rFonts w:ascii="Times New Roman" w:cs="Times New Roman" w:eastAsia="Times New Roman" w:hAnsi="Times New Roman"/>
          <w:sz w:val="19"/>
          <w:szCs w:val="19"/>
          <w:i w:val="1"/>
          <w:iCs w:val="1"/>
          <w:color w:val="auto"/>
        </w:rPr>
        <w:t>Liens.</w:t>
      </w:r>
    </w:p>
    <w:p>
      <w:pPr>
        <w:spacing w:after="0" w:line="194"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 xml:space="preserve">The Issuer will not and will not permit any of its Restricted Subsidiaries to, directly or indirectly, create, incur, assume or otherwise cause or suffer to exist or become effective any Lien of any kind (other than Permitted Liens) securing Indebtedness upon any of their property or assets, now owned or hereafter acquired, unless the Notes or any Guarantee of such Restricted Subsidiary, as applicable, are secured on an equal and ratable basis with the Indebtedness so secured (or, in the case of Indebtedness subordinated to the Notes or any Guarantee, prior or senior thereto, with the same relative priority as the Notes or Guarantee shall have with respect to such subordinated Indebtedness) until such time as such Indebtedness is no longer secured by a Lien. Any Lien created for the benefit of the Holders of the Notes pursuant to the preceding sentence shall provide by its terms that such Lien shall be automatically and unconditionally released and discharged upon the release and discharge of the initial Lien;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no Event of Default has occurred and is continuing at the time of such release and discharge. In the event of the termination of Section 4.09 of this Indenture pursuant to Section 4.18, all calculations under Section 4.12 (including with respect to the definition of “Permitted Liens”) of this Indenture shall be made as if Section 4.09 had not been terminated.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4.13</w:t>
      </w:r>
      <w:r>
        <w:rPr>
          <w:sz w:val="20"/>
          <w:szCs w:val="20"/>
          <w:color w:val="auto"/>
        </w:rPr>
        <w:tab/>
      </w:r>
      <w:r>
        <w:rPr>
          <w:rFonts w:ascii="Times New Roman" w:cs="Times New Roman" w:eastAsia="Times New Roman" w:hAnsi="Times New Roman"/>
          <w:sz w:val="19"/>
          <w:szCs w:val="19"/>
          <w:i w:val="1"/>
          <w:iCs w:val="1"/>
          <w:color w:val="auto"/>
        </w:rPr>
        <w:t>[Reserved].</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4.14</w:t>
      </w:r>
      <w:r>
        <w:rPr>
          <w:sz w:val="20"/>
          <w:szCs w:val="20"/>
          <w:color w:val="auto"/>
        </w:rPr>
        <w:tab/>
      </w:r>
      <w:r>
        <w:rPr>
          <w:rFonts w:ascii="Times New Roman" w:cs="Times New Roman" w:eastAsia="Times New Roman" w:hAnsi="Times New Roman"/>
          <w:sz w:val="19"/>
          <w:szCs w:val="19"/>
          <w:i w:val="1"/>
          <w:iCs w:val="1"/>
          <w:color w:val="auto"/>
        </w:rPr>
        <w:t>Organizational Existence.</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 xml:space="preserve">Subject to Article 5, the Issuer shall do or cause to be done all things necessary to preserve and keep in full force and effect the existence, the rights (charter and statutory), licenses and franchises of the Issuer;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Issuer shall not be required to preserve any such right, license or franchise if the Issuer shall determine that the preservation thereof is no longer desirable in the conduct of the business of the Issuer.</w:t>
      </w:r>
    </w:p>
    <w:p>
      <w:pPr>
        <w:spacing w:after="0" w:line="15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4.15</w:t>
      </w:r>
      <w:r>
        <w:rPr>
          <w:sz w:val="20"/>
          <w:szCs w:val="20"/>
          <w:color w:val="auto"/>
        </w:rPr>
        <w:tab/>
      </w:r>
      <w:r>
        <w:rPr>
          <w:rFonts w:ascii="Times New Roman" w:cs="Times New Roman" w:eastAsia="Times New Roman" w:hAnsi="Times New Roman"/>
          <w:sz w:val="19"/>
          <w:szCs w:val="19"/>
          <w:i w:val="1"/>
          <w:iCs w:val="1"/>
          <w:color w:val="auto"/>
        </w:rPr>
        <w:t>Offer to Repurchase Upon Change of Control Triggering Event.</w:t>
      </w:r>
    </w:p>
    <w:p>
      <w:pPr>
        <w:spacing w:after="0" w:line="181" w:lineRule="exact"/>
        <w:rPr>
          <w:sz w:val="20"/>
          <w:szCs w:val="20"/>
          <w:color w:val="auto"/>
        </w:rPr>
      </w:pPr>
    </w:p>
    <w:p>
      <w:pPr>
        <w:jc w:val="both"/>
        <w:ind w:firstLine="1278"/>
        <w:spacing w:after="0"/>
        <w:tabs>
          <w:tab w:leader="none" w:pos="1823"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Change of Control Triggering Event occurs, each Holder of Notes will have the right to require the Issuer to repurchase all or any part (equal to $2,000 or an integral multiple of $1,000 in excess thereof) of that Holder’s Notes pursuant to a cash tender offer (“</w:t>
      </w:r>
      <w:r>
        <w:rPr>
          <w:rFonts w:ascii="Times New Roman" w:cs="Times New Roman" w:eastAsia="Times New Roman" w:hAnsi="Times New Roman"/>
          <w:sz w:val="19"/>
          <w:szCs w:val="19"/>
          <w:i w:val="1"/>
          <w:iCs w:val="1"/>
          <w:color w:val="auto"/>
        </w:rPr>
        <w:t>Change of Control Offer</w:t>
      </w:r>
      <w:r>
        <w:rPr>
          <w:rFonts w:ascii="Times New Roman" w:cs="Times New Roman" w:eastAsia="Times New Roman" w:hAnsi="Times New Roman"/>
          <w:sz w:val="19"/>
          <w:szCs w:val="19"/>
          <w:color w:val="auto"/>
        </w:rPr>
        <w:t>”) on the terms set forth in this Section 4.15. In the Change of Control Offer, the Issuer will offer a payment in cash (“</w:t>
      </w:r>
      <w:r>
        <w:rPr>
          <w:rFonts w:ascii="Times New Roman" w:cs="Times New Roman" w:eastAsia="Times New Roman" w:hAnsi="Times New Roman"/>
          <w:sz w:val="19"/>
          <w:szCs w:val="19"/>
          <w:i w:val="1"/>
          <w:iCs w:val="1"/>
          <w:color w:val="auto"/>
        </w:rPr>
        <w:t>Change of Control Payment</w:t>
      </w:r>
      <w:r>
        <w:rPr>
          <w:rFonts w:ascii="Times New Roman" w:cs="Times New Roman" w:eastAsia="Times New Roman" w:hAnsi="Times New Roman"/>
          <w:sz w:val="19"/>
          <w:szCs w:val="19"/>
          <w:color w:val="auto"/>
        </w:rPr>
        <w:t>”) equal to 101% of the aggregate principal amount of Notes repurchased, plus accrued and unpaid interest, if any, on the Notes repurchased to, but excluding, the date of purchase (the “</w:t>
      </w:r>
      <w:r>
        <w:rPr>
          <w:rFonts w:ascii="Times New Roman" w:cs="Times New Roman" w:eastAsia="Times New Roman" w:hAnsi="Times New Roman"/>
          <w:sz w:val="19"/>
          <w:szCs w:val="19"/>
          <w:i w:val="1"/>
          <w:iCs w:val="1"/>
          <w:color w:val="auto"/>
        </w:rPr>
        <w:t>Change of Control Purchase Date</w:t>
      </w:r>
      <w:r>
        <w:rPr>
          <w:rFonts w:ascii="Times New Roman" w:cs="Times New Roman" w:eastAsia="Times New Roman" w:hAnsi="Times New Roman"/>
          <w:sz w:val="19"/>
          <w:szCs w:val="19"/>
          <w:color w:val="auto"/>
        </w:rPr>
        <w:t>”), subject to the rights of Holders of Notes on the relevant record date to receive interest due on the relevant Interest Payment Date.</w:t>
      </w:r>
    </w:p>
    <w:p>
      <w:pPr>
        <w:spacing w:after="0" w:line="160"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color w:val="auto"/>
        </w:rPr>
        <w:t>Within 30 days following any Change of Control Triggering Event, the Issuer will send a notice to each Holder (with a copy to the Trustee) describing the transaction or transactions that constitute the Change of Control and offering to repurchase Notes properly tendered prior to the expiration date specified in the notice, which date will be no earlier than 10 days and no later than 60 days from the date such notice is sent, pursuant to the procedures required by this Section 4.15 and described in such notice.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4.15, the Issuer will comply with the applicable securities laws and regulations and will not be deemed to have breached its obligations under this Section 4.15 by virtue of such compliance.</w:t>
      </w:r>
    </w:p>
    <w:p>
      <w:pPr>
        <w:spacing w:after="0" w:line="162" w:lineRule="exact"/>
        <w:rPr>
          <w:sz w:val="20"/>
          <w:szCs w:val="20"/>
          <w:color w:val="auto"/>
        </w:rPr>
      </w:pPr>
    </w:p>
    <w:p>
      <w:pPr>
        <w:jc w:val="both"/>
        <w:ind w:firstLine="1278"/>
        <w:spacing w:after="0" w:line="251" w:lineRule="auto"/>
        <w:tabs>
          <w:tab w:leader="none" w:pos="170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expiration of the Change of Control Offer, the Issuer will, to the extent lawful, accept for payment all Notes or portions of Notes properly tendered pursuant to the Change of Control Offer. Promptly after such acceptance, the Issuer will, on the Change of Control Purchase Date:</w:t>
      </w:r>
    </w:p>
    <w:p>
      <w:pPr>
        <w:spacing w:after="0" w:line="136" w:lineRule="exact"/>
        <w:rPr>
          <w:rFonts w:ascii="Times New Roman" w:cs="Times New Roman" w:eastAsia="Times New Roman" w:hAnsi="Times New Roman"/>
          <w:sz w:val="19"/>
          <w:szCs w:val="19"/>
          <w:color w:val="auto"/>
        </w:rPr>
      </w:pPr>
    </w:p>
    <w:p>
      <w:pPr>
        <w:ind w:left="640" w:firstLine="1274"/>
        <w:spacing w:after="0" w:line="270" w:lineRule="auto"/>
        <w:tabs>
          <w:tab w:leader="none" w:pos="2427"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 with the Paying Agent an amount equal to the Change of Control Payment in respect of all Notes or portions of Notes properly tendered; and</w:t>
      </w:r>
    </w:p>
    <w:p>
      <w:pPr>
        <w:spacing w:after="0" w:line="131" w:lineRule="exact"/>
        <w:rPr>
          <w:rFonts w:ascii="Times New Roman" w:cs="Times New Roman" w:eastAsia="Times New Roman" w:hAnsi="Times New Roman"/>
          <w:sz w:val="19"/>
          <w:szCs w:val="19"/>
          <w:color w:val="auto"/>
        </w:rPr>
      </w:pPr>
    </w:p>
    <w:p>
      <w:pPr>
        <w:ind w:left="640" w:firstLine="1274"/>
        <w:spacing w:after="0" w:line="270" w:lineRule="auto"/>
        <w:tabs>
          <w:tab w:leader="none" w:pos="2373"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Trustee the Notes properly accepted together with an Officers’ Certificate stating the aggregate principal amount of Notes or portions of Notes being purchased by the Issuer.</w:t>
      </w:r>
    </w:p>
    <w:p>
      <w:pPr>
        <w:spacing w:after="0" w:line="1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Notes to be purchased shall, on the Change of Control Purchase Date, become due and payable at the Change of Control Payment, and from and after such date (unless the Issuer shall default in depositing the Change of Control Payment) such Notes shall cease to accrue interest. The Paying Agent will promptly mail to each Holder of Notes properly tendered the Change of Control Payment for such Notes (or, if such Notes are then in global form, it will make such payment thereon through the facilities of DTC), and the Issuer will promptly issue a new Note, and the Trustee, upon written request from the Issuer, will promptly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authenticate and mail or deliver (or cause to be transferred by book entry) to each Holder such new Note in the principal amount equal to any unpurchased portion of the Notes surrendered by such Holder, if any. The Issuer will publicly announce the results of the Change of Control Offer on or as soon as practicable after the Change of Control Purchase Date.</w:t>
      </w:r>
    </w:p>
    <w:p>
      <w:pPr>
        <w:spacing w:after="0" w:line="136" w:lineRule="exact"/>
        <w:rPr>
          <w:sz w:val="20"/>
          <w:szCs w:val="20"/>
          <w:color w:val="auto"/>
        </w:rPr>
      </w:pPr>
    </w:p>
    <w:p>
      <w:pPr>
        <w:jc w:val="both"/>
        <w:ind w:firstLine="1278"/>
        <w:spacing w:after="0" w:line="251" w:lineRule="auto"/>
        <w:tabs>
          <w:tab w:leader="none" w:pos="1706"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described above that require the Issuer to make a Change of Control Offer following a Change of Control Triggering Event will be applicable whether or not any other provisions of this Indenture are applicable, except as described in paragraph (d) below.</w:t>
      </w:r>
    </w:p>
    <w:p>
      <w:pPr>
        <w:spacing w:after="0" w:line="149" w:lineRule="exact"/>
        <w:rPr>
          <w:rFonts w:ascii="Times New Roman" w:cs="Times New Roman" w:eastAsia="Times New Roman" w:hAnsi="Times New Roman"/>
          <w:sz w:val="19"/>
          <w:szCs w:val="19"/>
          <w:color w:val="auto"/>
        </w:rPr>
      </w:pPr>
    </w:p>
    <w:p>
      <w:pPr>
        <w:jc w:val="both"/>
        <w:ind w:firstLine="1278"/>
        <w:spacing w:after="0" w:line="238" w:lineRule="auto"/>
        <w:tabs>
          <w:tab w:leader="none" w:pos="170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4.15, the Issuer will not be required to make a Change of Control Offer upon a Change of Control Triggering Event if (1) a third party makes the Change of Control Offer in the manner, at the time and otherwise in compliance with the requirements set forth in this Section 4.15 applicable to a Change of Control Offer made by the Issuer and purchases all Notes properly tendered and not withdrawn under the Change of Control Offer, (2) notice of redemption of all outstanding Notes has been given pursuant to Section 3.03, unless and until there is a default in payment of the applicable redemption price or (3) in connection with or in contemplation of any Change of Control, the Issuer or a third party has made an offer to purchase (an “</w:t>
      </w:r>
      <w:r>
        <w:rPr>
          <w:rFonts w:ascii="Times New Roman" w:cs="Times New Roman" w:eastAsia="Times New Roman" w:hAnsi="Times New Roman"/>
          <w:sz w:val="19"/>
          <w:szCs w:val="19"/>
          <w:i w:val="1"/>
          <w:iCs w:val="1"/>
          <w:color w:val="auto"/>
        </w:rPr>
        <w:t>Alternate Offer</w:t>
      </w:r>
      <w:r>
        <w:rPr>
          <w:rFonts w:ascii="Times New Roman" w:cs="Times New Roman" w:eastAsia="Times New Roman" w:hAnsi="Times New Roman"/>
          <w:sz w:val="19"/>
          <w:szCs w:val="19"/>
          <w:color w:val="auto"/>
        </w:rPr>
        <w:t>”) any and all Notes validly tendered at a cash price equal to or higher than the Change of Control Payment and has purchased all Notes properly tendered in accordance with the terms of such Alternate Offer.</w:t>
      </w:r>
    </w:p>
    <w:p>
      <w:pPr>
        <w:spacing w:after="0" w:line="161"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8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Indenture, a Change of Control Offer or an Alternate Offer may be made in advance of a Change of Control, or conditioned upon the consummation of such Change of Control, if a definitive agreement is in place for the Change of Control at the time the Change of Control Offer or Alternate Offer is made.</w:t>
      </w:r>
    </w:p>
    <w:p>
      <w:pPr>
        <w:spacing w:after="0" w:line="136" w:lineRule="exact"/>
        <w:rPr>
          <w:rFonts w:ascii="Times New Roman" w:cs="Times New Roman" w:eastAsia="Times New Roman" w:hAnsi="Times New Roman"/>
          <w:sz w:val="19"/>
          <w:szCs w:val="19"/>
          <w:color w:val="auto"/>
        </w:rPr>
      </w:pPr>
    </w:p>
    <w:p>
      <w:pPr>
        <w:jc w:val="both"/>
        <w:ind w:firstLine="1278"/>
        <w:spacing w:after="0" w:line="239" w:lineRule="auto"/>
        <w:tabs>
          <w:tab w:leader="none" w:pos="174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upon consummation of a Change of Control Offer or Alternate Offer less than 10% of the aggregate principal amount of the Notes (including, without limitation, Additional Notes, if any) that were originally issued are outstanding and held by Holders other than the Issuer or Affiliates thereof, the Issuer will have the right, upon not less than 10 nor more than 60 days prior notice, given not more than 30 days following the purchase pursuant to the Change of Control Offer described above, to redeem all of the Notes that remain outstanding following such purchase at a redemption price equal to the Change of Control Payment plus, to the extent not included in the Change of Control Payment, accrued and unpaid interest, if any, on the Notes that remain outstanding, to the date of redemption, subject to the rights of Holders of Notes on the relevant record date to receive interest on the relevant Interest Payment Date.</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4.16</w:t>
      </w:r>
      <w:r>
        <w:rPr>
          <w:sz w:val="20"/>
          <w:szCs w:val="20"/>
          <w:color w:val="auto"/>
        </w:rPr>
        <w:tab/>
      </w:r>
      <w:r>
        <w:rPr>
          <w:rFonts w:ascii="Times New Roman" w:cs="Times New Roman" w:eastAsia="Times New Roman" w:hAnsi="Times New Roman"/>
          <w:sz w:val="19"/>
          <w:szCs w:val="19"/>
          <w:i w:val="1"/>
          <w:iCs w:val="1"/>
          <w:color w:val="auto"/>
        </w:rPr>
        <w:t>Additional Guarantees.</w:t>
      </w:r>
    </w:p>
    <w:p>
      <w:pPr>
        <w:spacing w:after="0" w:line="19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 xml:space="preserve">If, after the Issue Date, any Restricted Subsidiary of the Issuer that is not already a Guarantor guarantees or otherwise becomes an obligor with respect to any other Indebtedness of the Issuer or any Guarantor in excess of the De Minimis Guaranteed Amount, then such Restricted Subsidiary will become a Guarantor by executing a supplemental indenture and delivering it to the Trustee within 20 Business Days of the date on which it guaranteed or became an obligor with respect to such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preceding shall not apply to Subsidiaries of the Issuer that have properly been designated as Unrestricted Subsidiaries in accordance with this Indenture for so long as they continue to constitute Unrestricted Subsidiaries. Notwithstanding the preceding, any Guarantee of a Restricted Subsidiary that was incurred pursuant to this paragraph shall be subject to all limitations and provisions described in Article 10, including provisions for the release of such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4.17</w:t>
      </w:r>
      <w:r>
        <w:rPr>
          <w:sz w:val="20"/>
          <w:szCs w:val="20"/>
          <w:color w:val="auto"/>
        </w:rPr>
        <w:tab/>
      </w:r>
      <w:r>
        <w:rPr>
          <w:rFonts w:ascii="Times New Roman" w:cs="Times New Roman" w:eastAsia="Times New Roman" w:hAnsi="Times New Roman"/>
          <w:sz w:val="19"/>
          <w:szCs w:val="19"/>
          <w:i w:val="1"/>
          <w:iCs w:val="1"/>
          <w:color w:val="auto"/>
        </w:rPr>
        <w:t>Designation of Restricted and Unrestricted Subsidiaries.</w:t>
      </w:r>
    </w:p>
    <w:p>
      <w:pPr>
        <w:spacing w:after="0" w:line="181"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9"/>
          <w:szCs w:val="19"/>
          <w:color w:val="auto"/>
        </w:rPr>
        <w:t>The Issuer may designate any Restricted Subsidiary to be an Unrestricted Subsidiary if that designation would not cause a Default. If a Restricted Subsidiary is designated as an Unrestricted Subsidiary, the aggregate Fair Market Value of all outstanding Investments owned by the Issuer and its Restricted Subsidiaries in the Subsidiary designated as an Unrestricted Subsidiary will be deemed to either be an Investment made as a “Restricted Payment” as of the time of the designation that will reduce the amount available for Restricted Payments under Section 4.07(a) or represent a Permitted Investment under one or more clauses of the definition of “Permitted Investments,” as determined in good faith by the Issuer. That designation will only be permitted if the Investment would be permitted at that time and if the Subsidiary so designated otherwise meets the definition of an “Unrestricted Subsidiary.”</w:t>
      </w:r>
    </w:p>
    <w:p>
      <w:pPr>
        <w:spacing w:after="0" w:line="160"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Any designation of a Subsidiary of the Issuer as an Unrestricted Subsidiary will be evidenced to the Trustee by filing with the Trustee an Officers’ Certificate certifying that such designation complied with the preceding conditions and was permitted by Section 4.07.</w:t>
      </w:r>
    </w:p>
    <w:p>
      <w:pPr>
        <w:spacing w:after="0" w:line="129"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 xml:space="preserve">The Issuer may at any time designate any Unrestricted Subsidiary to be a Restricted Subsidiary of the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designation will be deemed to be an incurrence of Indebtedness and Liens by a Restricted Subsidiary of the Issuer of any outstanding Indebtedness of such Unrestricted Subsidiary, and such designation will only be permitted if (1) such Indebtedness is permitted under Section 4.09, with the Fixed Charge Coverage Ratio calculated on a pro forma basis as if such designation had occurred at the beginning of the applicable reference period; (2) such Indebtedness is permitted under Section 4.12; and (3) no Default or Event of Default would be in existence following such designation.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of the Issuer as of such date and, if such Indebtedness or Liens are not permitted to be incurred as of such date under Sections 4.09 and/or 4.12, the Issuer will be in default of Section 4.09 and/or Section 4.12, as applicable.</w:t>
      </w:r>
    </w:p>
    <w:p>
      <w:pPr>
        <w:spacing w:after="0" w:line="33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4.18</w:t>
      </w:r>
      <w:r>
        <w:rPr>
          <w:sz w:val="20"/>
          <w:szCs w:val="20"/>
          <w:color w:val="auto"/>
        </w:rPr>
        <w:tab/>
      </w:r>
      <w:r>
        <w:rPr>
          <w:rFonts w:ascii="Times New Roman" w:cs="Times New Roman" w:eastAsia="Times New Roman" w:hAnsi="Times New Roman"/>
          <w:sz w:val="19"/>
          <w:szCs w:val="19"/>
          <w:i w:val="1"/>
          <w:iCs w:val="1"/>
          <w:color w:val="auto"/>
        </w:rPr>
        <w:t>Covenant Termination.</w:t>
      </w:r>
    </w:p>
    <w:p>
      <w:pPr>
        <w:spacing w:after="0" w:line="194"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9"/>
          <w:szCs w:val="19"/>
          <w:color w:val="auto"/>
        </w:rPr>
        <w:t>Notwithstanding any provision of this Indenture or of the Notes to the contrary, if at any time following the Issue Date (a) the Notes are rated Baa3 or better by Moody’s or BBB- or better by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 (b) no Default or Event of Default shall have occurred and be continuing under this Indenture and (c) the Issuer has delivered to the Trustee an Officers’ Certificate certifying to such events, Sections 3.09, 4.07, 4.08, 4.09, 4.10, 4.11 and 4.17 and Section 5.01(a)(4) of this Indenture will thereafter terminate and no Default or Event of Default shall result from any failure to comply with any of the provisions of such Sections.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covenants described in this Article 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5</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SUCCESSORS</w:t>
      </w:r>
    </w:p>
    <w:p>
      <w:pPr>
        <w:spacing w:after="0" w:line="155"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Section 5.1</w:t>
      </w:r>
      <w:r>
        <w:rPr>
          <w:sz w:val="20"/>
          <w:szCs w:val="20"/>
          <w:color w:val="auto"/>
        </w:rPr>
        <w:tab/>
      </w:r>
      <w:r>
        <w:rPr>
          <w:rFonts w:ascii="Times New Roman" w:cs="Times New Roman" w:eastAsia="Times New Roman" w:hAnsi="Times New Roman"/>
          <w:sz w:val="19"/>
          <w:szCs w:val="19"/>
          <w:i w:val="1"/>
          <w:iCs w:val="1"/>
          <w:color w:val="auto"/>
        </w:rPr>
        <w:t>Merger, Consolidation or Sale of Assets.</w:t>
      </w:r>
    </w:p>
    <w:p>
      <w:pPr>
        <w:spacing w:after="0" w:line="194" w:lineRule="exact"/>
        <w:rPr>
          <w:sz w:val="20"/>
          <w:szCs w:val="20"/>
          <w:color w:val="auto"/>
        </w:rPr>
      </w:pPr>
    </w:p>
    <w:p>
      <w:pPr>
        <w:jc w:val="both"/>
        <w:ind w:firstLine="1278"/>
        <w:spacing w:after="0" w:line="251" w:lineRule="auto"/>
        <w:tabs>
          <w:tab w:leader="none" w:pos="1703"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directly or indirectly, (x) consolidate or merge with or into another Person (whether or not the Issuer is the survivor), or (y) sell, assign, transfer, convey, lease or otherwise dispose of all or substantially all of its properties or assets, in one or more related transactions, to another Person, unless:</w:t>
      </w:r>
    </w:p>
    <w:p>
      <w:pPr>
        <w:spacing w:after="0" w:line="149" w:lineRule="exact"/>
        <w:rPr>
          <w:rFonts w:ascii="Times New Roman" w:cs="Times New Roman" w:eastAsia="Times New Roman" w:hAnsi="Times New Roman"/>
          <w:sz w:val="19"/>
          <w:szCs w:val="19"/>
          <w:color w:val="auto"/>
        </w:rPr>
      </w:pPr>
    </w:p>
    <w:p>
      <w:pPr>
        <w:jc w:val="both"/>
        <w:ind w:left="640" w:firstLine="1274"/>
        <w:spacing w:after="0"/>
        <w:tabs>
          <w:tab w:leader="none" w:pos="2393"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either (a) the Issuer is the surviving Person or (b) the Person formed by or surviving any such consolidation or merger (if other than the Issuer) or to which such sale, assignment, transfer, conveyance, lease or other disposition has been made is a Person organized or existing under the laws of the United States, any state of the United States or the District of Columbia;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at any time such surviving Person is a limited liability company or limited partnership, there shall be a co-issuer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Notes that is a corporation organized or existing under the laws of the United States, any state of the United States or the District of Columbia;</w:t>
      </w:r>
    </w:p>
    <w:p>
      <w:pPr>
        <w:spacing w:after="0" w:line="365" w:lineRule="exact"/>
        <w:rPr>
          <w:rFonts w:ascii="Times New Roman" w:cs="Times New Roman" w:eastAsia="Times New Roman" w:hAnsi="Times New Roman"/>
          <w:sz w:val="19"/>
          <w:szCs w:val="19"/>
          <w:color w:val="auto"/>
        </w:rPr>
      </w:pPr>
    </w:p>
    <w:p>
      <w:pPr>
        <w:jc w:val="both"/>
        <w:ind w:left="640" w:firstLine="1274"/>
        <w:spacing w:after="0" w:line="246" w:lineRule="auto"/>
        <w:tabs>
          <w:tab w:leader="none" w:pos="240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 pursuant to a supplemental indenture or other agreement in a form reasonably satisfactory to the Trustee;</w:t>
      </w:r>
    </w:p>
    <w:p>
      <w:pPr>
        <w:spacing w:after="0" w:line="374"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such transaction, no Default or Event of Default exists;</w:t>
      </w:r>
    </w:p>
    <w:p>
      <w:pPr>
        <w:spacing w:after="0" w:line="192" w:lineRule="exact"/>
        <w:rPr>
          <w:rFonts w:ascii="Times New Roman" w:cs="Times New Roman" w:eastAsia="Times New Roman" w:hAnsi="Times New Roman"/>
          <w:sz w:val="19"/>
          <w:szCs w:val="19"/>
          <w:color w:val="auto"/>
        </w:rPr>
      </w:pPr>
    </w:p>
    <w:p>
      <w:pPr>
        <w:ind w:left="640" w:firstLine="1274"/>
        <w:spacing w:after="0" w:line="270" w:lineRule="auto"/>
        <w:tabs>
          <w:tab w:leader="none" w:pos="2345"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transaction and any related financing transaction on a pro forma basis as if the same had occurred at the beginning of the applicable four-quarter period, either</w:t>
      </w:r>
    </w:p>
    <w:p>
      <w:pPr>
        <w:spacing w:after="0" w:line="117" w:lineRule="exact"/>
        <w:rPr>
          <w:rFonts w:ascii="Times New Roman" w:cs="Times New Roman" w:eastAsia="Times New Roman" w:hAnsi="Times New Roman"/>
          <w:sz w:val="19"/>
          <w:szCs w:val="19"/>
          <w:color w:val="auto"/>
        </w:rPr>
      </w:pPr>
    </w:p>
    <w:p>
      <w:pPr>
        <w:jc w:val="both"/>
        <w:ind w:left="1280" w:firstLine="1270"/>
        <w:spacing w:after="0" w:line="246" w:lineRule="auto"/>
        <w:tabs>
          <w:tab w:leader="none" w:pos="3124"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or the Person formed by or surviving any such consolidation or merger (if other than the Issuer), or to which such sale, assignment, transfer, conveyance, lease or other disposition has been made, would be permitted to incur at least $1.00 of additional Indebtedness pursuant to the Fixed Charge Coverage Ratio test set forth in Section 4.09(a); or</w:t>
      </w:r>
    </w:p>
    <w:p>
      <w:pPr>
        <w:spacing w:after="0" w:line="374" w:lineRule="exact"/>
        <w:rPr>
          <w:rFonts w:ascii="Times New Roman" w:cs="Times New Roman" w:eastAsia="Times New Roman" w:hAnsi="Times New Roman"/>
          <w:sz w:val="19"/>
          <w:szCs w:val="19"/>
          <w:color w:val="auto"/>
        </w:rPr>
      </w:pPr>
    </w:p>
    <w:p>
      <w:pPr>
        <w:jc w:val="both"/>
        <w:ind w:left="1280" w:firstLine="1270"/>
        <w:spacing w:after="0" w:line="245" w:lineRule="auto"/>
        <w:tabs>
          <w:tab w:leader="none" w:pos="3201"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Fixed Charge Coverage Ratio of the Issuer or the Person formed by or surviving any such consolidation or merger (if other than the Issuer), or to which such sale, assignment, transfer, conveyance, lease or other disposition has been made, is equal to or greater than the Fixed Charge Coverage Ratio of the Issuer immediately prior to such transaction; and</w:t>
      </w:r>
    </w:p>
    <w:p>
      <w:pPr>
        <w:spacing w:after="0" w:line="154" w:lineRule="exact"/>
        <w:rPr>
          <w:rFonts w:ascii="Times New Roman" w:cs="Times New Roman" w:eastAsia="Times New Roman" w:hAnsi="Times New Roman"/>
          <w:sz w:val="19"/>
          <w:szCs w:val="19"/>
          <w:color w:val="auto"/>
        </w:rPr>
      </w:pPr>
    </w:p>
    <w:p>
      <w:pPr>
        <w:ind w:left="640" w:firstLine="1274"/>
        <w:spacing w:after="0" w:line="270" w:lineRule="auto"/>
        <w:tabs>
          <w:tab w:leader="none" w:pos="2371"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delivered to the Trustee an Officers’ Certificate and an Opinion of Counsel, each stating that such consolidation, merger or disposition and such supplemental indenture, if any, comply with this Indenture.</w:t>
      </w:r>
    </w:p>
    <w:p>
      <w:pPr>
        <w:spacing w:after="0" w:line="117"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07"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restrictions described in Sections 5.01(a)(3), 5.01(a)(4) or 5.01(a)(5), (i) any Restricted Subsidiary of the Issuer may consolidate with or merge into the Issuer and (ii) the Issuer may consolidate with or merge into or dispose all or substantially all of its properties or assets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any Guarantor; and the Issuer, in the case of (i) or (ii), will not be required to comply with Sections 5.01(a)(3), 5.01(a)(4) or 5.01(a)(5) in connection with any such consolidation, merger or disposition.</w:t>
      </w:r>
    </w:p>
    <w:p>
      <w:pPr>
        <w:spacing w:after="0" w:line="118" w:lineRule="exact"/>
        <w:rPr>
          <w:sz w:val="20"/>
          <w:szCs w:val="20"/>
          <w:color w:val="auto"/>
        </w:rPr>
      </w:pPr>
    </w:p>
    <w:p>
      <w:pPr>
        <w:ind w:left="1720" w:hanging="442"/>
        <w:spacing w:after="0"/>
        <w:tabs>
          <w:tab w:leader="none" w:pos="172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5.01(a), the Issuer may reorganize as any other form of entity in accordance with the following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procedures:</w:t>
      </w:r>
    </w:p>
    <w:p>
      <w:pPr>
        <w:spacing w:after="0" w:line="170" w:lineRule="exact"/>
        <w:rPr>
          <w:sz w:val="20"/>
          <w:szCs w:val="20"/>
          <w:color w:val="auto"/>
        </w:rPr>
      </w:pPr>
    </w:p>
    <w:p>
      <w:pPr>
        <w:ind w:left="640" w:right="20" w:firstLine="1274"/>
        <w:spacing w:after="0" w:line="270" w:lineRule="auto"/>
        <w:tabs>
          <w:tab w:leader="none" w:pos="2388"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reorganization involves the conversion (by merger, sale, contribution or exchange of assets or otherwise) of the Issuer into a form of entity other than a corporation formed under Delaware law;</w:t>
      </w:r>
    </w:p>
    <w:p>
      <w:pPr>
        <w:spacing w:after="0" w:line="131" w:lineRule="exact"/>
        <w:rPr>
          <w:rFonts w:ascii="Times New Roman" w:cs="Times New Roman" w:eastAsia="Times New Roman" w:hAnsi="Times New Roman"/>
          <w:sz w:val="19"/>
          <w:szCs w:val="19"/>
          <w:color w:val="auto"/>
        </w:rPr>
      </w:pPr>
    </w:p>
    <w:p>
      <w:pPr>
        <w:ind w:left="640" w:firstLine="1274"/>
        <w:spacing w:after="0" w:line="270" w:lineRule="auto"/>
        <w:tabs>
          <w:tab w:leader="none" w:pos="2365"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entity so formed by or resulting from such reorganization is an entity organized or existing under the laws of the United States, any state thereof or the District of Columbia;</w:t>
      </w:r>
    </w:p>
    <w:p>
      <w:pPr>
        <w:spacing w:after="0" w:line="117" w:lineRule="exact"/>
        <w:rPr>
          <w:rFonts w:ascii="Times New Roman" w:cs="Times New Roman" w:eastAsia="Times New Roman" w:hAnsi="Times New Roman"/>
          <w:sz w:val="19"/>
          <w:szCs w:val="19"/>
          <w:color w:val="auto"/>
        </w:rPr>
      </w:pPr>
    </w:p>
    <w:p>
      <w:pPr>
        <w:ind w:left="640" w:firstLine="1274"/>
        <w:spacing w:after="0" w:line="270" w:lineRule="auto"/>
        <w:tabs>
          <w:tab w:leader="none" w:pos="2376"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entity so formed by or resulting from such reorganization assumes all the obligations of the Issuer under the Notes and this Indenture pursuant to a supplemental indenture or other agreement in a form reasonably satisfactory to the Trustee;</w:t>
      </w:r>
    </w:p>
    <w:p>
      <w:pPr>
        <w:spacing w:after="0" w:line="131"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such reorganization no Default or Event of Default exists; and</w:t>
      </w:r>
    </w:p>
    <w:p>
      <w:pPr>
        <w:spacing w:after="0" w:line="192" w:lineRule="exact"/>
        <w:rPr>
          <w:rFonts w:ascii="Times New Roman" w:cs="Times New Roman" w:eastAsia="Times New Roman" w:hAnsi="Times New Roman"/>
          <w:sz w:val="19"/>
          <w:szCs w:val="19"/>
          <w:color w:val="auto"/>
        </w:rPr>
      </w:pPr>
    </w:p>
    <w:p>
      <w:pPr>
        <w:jc w:val="both"/>
        <w:ind w:left="640" w:firstLine="1274"/>
        <w:spacing w:after="0" w:line="242" w:lineRule="auto"/>
        <w:tabs>
          <w:tab w:leader="none" w:pos="2386"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reorganization is not materially adverse to the Holders or Beneficial Owners of the Notes (for purposes of this clause (5) a 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w:t>
      </w:r>
    </w:p>
    <w:p>
      <w:pPr>
        <w:spacing w:after="0" w:line="144"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33"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Guarantor may not sell or otherwise dispose of, in one or a series of related transactions, all or substantially all of its properties or assets to, or consolidate with or merge with or into (whether or not such Guarantor is the surviving Person) another Person, other than the Issuer or another Guarantor, unless:</w:t>
      </w:r>
    </w:p>
    <w:p>
      <w:pPr>
        <w:spacing w:after="0" w:line="149"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transaction or series of transactions, no Default or Event of Default exists</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w:t>
      </w:r>
    </w:p>
    <w:p>
      <w:pPr>
        <w:spacing w:after="0" w:line="179" w:lineRule="exact"/>
        <w:rPr>
          <w:rFonts w:ascii="Times New Roman" w:cs="Times New Roman" w:eastAsia="Times New Roman" w:hAnsi="Times New Roman"/>
          <w:sz w:val="19"/>
          <w:szCs w:val="19"/>
          <w:color w:val="auto"/>
        </w:rPr>
      </w:pPr>
    </w:p>
    <w:p>
      <w:pPr>
        <w:jc w:val="both"/>
        <w:ind w:left="1280" w:firstLine="1270"/>
        <w:spacing w:after="0" w:line="245" w:lineRule="auto"/>
        <w:tabs>
          <w:tab w:leader="none" w:pos="3023" w:val="left"/>
        </w:tabs>
        <w:numPr>
          <w:ilvl w:val="2"/>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acquiring the properties or assets in any such sale or other disposition or the Person formed by or surviving any such consolidation or merger (if other than the Guarantor) unconditionally assumes all the obligations of that Guarantor under its Guarantee and this Indenture pursuant to a supplemental indenture or other agreement in form reasonably satisfactory to the Trustee; or</w:t>
      </w:r>
    </w:p>
    <w:p>
      <w:pPr>
        <w:spacing w:after="0" w:line="154" w:lineRule="exact"/>
        <w:rPr>
          <w:rFonts w:ascii="Times New Roman" w:cs="Times New Roman" w:eastAsia="Times New Roman" w:hAnsi="Times New Roman"/>
          <w:sz w:val="19"/>
          <w:szCs w:val="19"/>
          <w:color w:val="auto"/>
        </w:rPr>
      </w:pPr>
    </w:p>
    <w:p>
      <w:pPr>
        <w:ind w:left="3000" w:hanging="450"/>
        <w:spacing w:after="0"/>
        <w:tabs>
          <w:tab w:leader="none" w:pos="3000" w:val="left"/>
        </w:tabs>
        <w:numPr>
          <w:ilvl w:val="2"/>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transaction or series of transactions does not violate Section 4.10; and</w:t>
      </w:r>
    </w:p>
    <w:p>
      <w:pPr>
        <w:spacing w:after="0" w:line="192" w:lineRule="exact"/>
        <w:rPr>
          <w:rFonts w:ascii="Times New Roman" w:cs="Times New Roman" w:eastAsia="Times New Roman" w:hAnsi="Times New Roman"/>
          <w:sz w:val="19"/>
          <w:szCs w:val="19"/>
          <w:color w:val="auto"/>
        </w:rPr>
      </w:pPr>
    </w:p>
    <w:p>
      <w:pPr>
        <w:ind w:left="640" w:firstLine="1274"/>
        <w:spacing w:after="0" w:line="270" w:lineRule="auto"/>
        <w:tabs>
          <w:tab w:leader="none" w:pos="2371"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delivered to the Trustee an Officers’ Certificate and an Opinion of Counsel, each stating that such consolidation, merger or disposition and such supplemental indenture, if any, comply with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In case of any such consolidation, merger, sale or other disposition and upon the assumption by the successor Person, by supplemental indenture, executed and delivered to the Trustee and satisfactory in form to the Trustee, of the Guarantee of the Guarantor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41" w:lineRule="exact"/>
        <w:rPr>
          <w:sz w:val="20"/>
          <w:szCs w:val="20"/>
          <w:color w:val="auto"/>
        </w:rPr>
      </w:pPr>
    </w:p>
    <w:p>
      <w:pPr>
        <w:jc w:val="both"/>
        <w:ind w:firstLine="1278"/>
        <w:spacing w:after="0" w:line="245" w:lineRule="auto"/>
        <w:tabs>
          <w:tab w:leader="none" w:pos="171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5.01, the transfer (by lease, assignment, sale or otherwise, in a single transaction or series of transactions) of all or substantially all of the properties or assets of one or more Restricted Subsidiaries of the Issuer, the Capital Stock of which constitutes all or substantially all of the properties or assets of the Issuer, shall be deemed to be the transfer of all or substantially all of the properties or assets of the Issuer.</w:t>
      </w:r>
    </w:p>
    <w:p>
      <w:pPr>
        <w:spacing w:after="0" w:line="154" w:lineRule="exact"/>
        <w:rPr>
          <w:rFonts w:ascii="Times New Roman" w:cs="Times New Roman" w:eastAsia="Times New Roman" w:hAnsi="Times New Roman"/>
          <w:sz w:val="19"/>
          <w:szCs w:val="19"/>
          <w:color w:val="auto"/>
        </w:rPr>
      </w:pPr>
    </w:p>
    <w:p>
      <w:pPr>
        <w:jc w:val="both"/>
        <w:ind w:firstLine="1278"/>
        <w:spacing w:after="0" w:line="239" w:lineRule="auto"/>
        <w:tabs>
          <w:tab w:leader="none" w:pos="1694"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5.02</w:t>
      </w:r>
      <w:r>
        <w:rPr>
          <w:sz w:val="20"/>
          <w:szCs w:val="20"/>
          <w:color w:val="auto"/>
        </w:rPr>
        <w:tab/>
      </w:r>
      <w:r>
        <w:rPr>
          <w:rFonts w:ascii="Times New Roman" w:cs="Times New Roman" w:eastAsia="Times New Roman" w:hAnsi="Times New Roman"/>
          <w:sz w:val="19"/>
          <w:szCs w:val="19"/>
          <w:i w:val="1"/>
          <w:iCs w:val="1"/>
          <w:color w:val="auto"/>
        </w:rPr>
        <w:t>Successor Issuer Substituted.</w:t>
      </w:r>
    </w:p>
    <w:p>
      <w:pPr>
        <w:spacing w:after="0" w:line="181"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19"/>
          <w:szCs w:val="19"/>
          <w:color w:val="auto"/>
        </w:rPr>
        <w:t xml:space="preserve">Upon any consolidation or merger, or any sale, assignment, transfer, conveyance, lease or other disposition of all or substantially all of the properties or assets of the Issuer in a transaction that is subject to, and that complies with the provisions of, Section 5.01 in which the Issuer is not the surviving or successor Person, the successor Person formed by such consolidation or into or with which the Issuer is merged or to which such sale, assignment, transfer, conveyance, lease or other disposition is made shall succeed to, and be substituted for, and may exercise every right and power of the Issuer under this Indenture with the same effect as if such successor Person had been named as the predecessor Issuer herein and shall be substituted for the Issuer (so that from and after the date of such consolidation, merger, sale, assignment, transfer, lease, conveyance or other disposition, the provisions of this Indenture referring to the “Issuer” shall refer instead to the successor Person and not to the predecessor Issuer) and such predecessor Issuer shall be discharged and released from all of its obligations and covenants under this Indenture and the Notes and the Trustee shall enter into a supplemental indenture to evidence the succession and substitution of such successor and such discharge and release of such predecessor Issuer;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predecessor Issuer shall not be relieved from the obligation to pay the principal of, or premium or interest, if any, on, the Notes in the case of a lease of all or substantially all of the Issuer’s properties or assets in a transaction that is subject to, and that complies with the provisions of, Section 5.01.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6</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DEFAULTS AND REMEDIES</w:t>
      </w:r>
    </w:p>
    <w:p>
      <w:pPr>
        <w:spacing w:after="0" w:line="16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6.01</w:t>
      </w:r>
      <w:r>
        <w:rPr>
          <w:sz w:val="20"/>
          <w:szCs w:val="20"/>
          <w:color w:val="auto"/>
        </w:rPr>
        <w:tab/>
      </w:r>
      <w:r>
        <w:rPr>
          <w:rFonts w:ascii="Times New Roman" w:cs="Times New Roman" w:eastAsia="Times New Roman" w:hAnsi="Times New Roman"/>
          <w:sz w:val="19"/>
          <w:szCs w:val="19"/>
          <w:i w:val="1"/>
          <w:iCs w:val="1"/>
          <w:color w:val="auto"/>
        </w:rPr>
        <w:t>Events of Default.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Each of the following is an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ind w:left="1680" w:hanging="402"/>
        <w:spacing w:after="0"/>
        <w:tabs>
          <w:tab w:leader="none" w:pos="16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for 30 days in the payment when due of interest on the Notes;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69"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8" w:lineRule="exact"/>
        <w:rPr>
          <w:sz w:val="20"/>
          <w:szCs w:val="20"/>
          <w:color w:val="auto"/>
        </w:rPr>
      </w:pPr>
    </w:p>
    <w:p>
      <w:pPr>
        <w:ind w:left="1760" w:hanging="482"/>
        <w:spacing w:after="0"/>
        <w:tabs>
          <w:tab w:leader="none" w:pos="176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payment when due (at Stated Maturity, upon redemption or otherwise) of the principal of, or premium, if</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on, the Notes;</w:t>
      </w:r>
    </w:p>
    <w:p>
      <w:pPr>
        <w:spacing w:after="0" w:line="157"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84"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for 30 days after written notice has been given, by certified mail, (1) to the Issuer by the Trustee or (2) to the Issuer and the Trustee by the Holders of at least 25% in aggregate principal amount of the Notes then outstanding to comply with its obligations to offer to repurchase or repurchase the Notes described under Section 3.09, 4.10 or 4.15;</w:t>
      </w:r>
    </w:p>
    <w:p>
      <w:pPr>
        <w:spacing w:after="0" w:line="14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to comply with Section 5.01;</w:t>
      </w:r>
    </w:p>
    <w:p>
      <w:pPr>
        <w:spacing w:after="0" w:line="192" w:lineRule="exact"/>
        <w:rPr>
          <w:rFonts w:ascii="Times New Roman" w:cs="Times New Roman" w:eastAsia="Times New Roman" w:hAnsi="Times New Roman"/>
          <w:sz w:val="19"/>
          <w:szCs w:val="19"/>
          <w:color w:val="auto"/>
        </w:rPr>
      </w:pPr>
    </w:p>
    <w:p>
      <w:pPr>
        <w:ind w:left="1720" w:hanging="442"/>
        <w:spacing w:after="0"/>
        <w:tabs>
          <w:tab w:leader="none" w:pos="172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for 180 days after written notice has been given, by certified mail, (1) to the Issuer by the Trustee or</w:t>
      </w:r>
    </w:p>
    <w:p>
      <w:pPr>
        <w:spacing w:after="0" w:line="15" w:lineRule="exact"/>
        <w:rPr>
          <w:rFonts w:ascii="Times New Roman" w:cs="Times New Roman" w:eastAsia="Times New Roman" w:hAnsi="Times New Roman"/>
          <w:sz w:val="19"/>
          <w:szCs w:val="19"/>
          <w:color w:val="auto"/>
        </w:rPr>
      </w:pPr>
    </w:p>
    <w:p>
      <w:pPr>
        <w:ind w:firstLine="6"/>
        <w:spacing w:after="0" w:line="246" w:lineRule="auto"/>
        <w:tabs>
          <w:tab w:leader="none" w:pos="292"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Issuer and the Trustee by the Holders of at least 25% in aggregate principal amount of the Notes then outstanding to comply with Section 4.03;</w:t>
      </w:r>
    </w:p>
    <w:p>
      <w:pPr>
        <w:spacing w:after="0" w:line="13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64"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for 60 days after written notice has been given, by certified mail, (1) to the Issuer by the Trustee or (2) to the Issuer and the Trustee by the Holders of at least 25% in aggregate principal amount of the Notes then outstanding to comply with any of the other agreements in this Indenture;</w:t>
      </w:r>
    </w:p>
    <w:p>
      <w:pPr>
        <w:spacing w:after="0" w:line="14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0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whether such Indebtedness or guarantee now exists, or is created after the Issue Date, if that default:</w:t>
      </w:r>
    </w:p>
    <w:p>
      <w:pPr>
        <w:spacing w:after="0" w:line="149" w:lineRule="exact"/>
        <w:rPr>
          <w:rFonts w:ascii="Times New Roman" w:cs="Times New Roman" w:eastAsia="Times New Roman" w:hAnsi="Times New Roman"/>
          <w:sz w:val="19"/>
          <w:szCs w:val="19"/>
          <w:color w:val="auto"/>
        </w:rPr>
      </w:pPr>
    </w:p>
    <w:p>
      <w:pPr>
        <w:ind w:left="640" w:right="20" w:firstLine="1274"/>
        <w:spacing w:after="0" w:line="270" w:lineRule="auto"/>
        <w:tabs>
          <w:tab w:leader="none" w:pos="2447"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9"/>
          <w:szCs w:val="19"/>
          <w:i w:val="1"/>
          <w:iCs w:val="1"/>
          <w:color w:val="auto"/>
        </w:rPr>
        <w:t>Payment Default</w:t>
      </w:r>
      <w:r>
        <w:rPr>
          <w:rFonts w:ascii="Times New Roman" w:cs="Times New Roman" w:eastAsia="Times New Roman" w:hAnsi="Times New Roman"/>
          <w:sz w:val="19"/>
          <w:szCs w:val="19"/>
          <w:color w:val="auto"/>
        </w:rPr>
        <w:t>”); or</w:t>
      </w:r>
    </w:p>
    <w:p>
      <w:pPr>
        <w:spacing w:after="0" w:line="117"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results in the acceleration of such Indebtedness prior to its express maturity,</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and, in each case, the principal amount of any such Indebtedness, together with the principal amount of any other such Indebtedness under which there has been a Payment Default or the maturity of which has been so accelerated, aggregates $50.0 million and, within 20 Business Days of such Payment Default or acceleration, such Indebtedness has not been discharged or such Payment Default has not been cured or such acceleration has not been rescinded or annulled;</w:t>
      </w:r>
    </w:p>
    <w:p>
      <w:pPr>
        <w:spacing w:after="0" w:line="155" w:lineRule="exact"/>
        <w:rPr>
          <w:sz w:val="20"/>
          <w:szCs w:val="20"/>
          <w:color w:val="auto"/>
        </w:rPr>
      </w:pPr>
    </w:p>
    <w:p>
      <w:pPr>
        <w:jc w:val="both"/>
        <w:ind w:firstLine="1278"/>
        <w:spacing w:after="0" w:line="251" w:lineRule="auto"/>
        <w:tabs>
          <w:tab w:leader="none" w:pos="171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or any of its Restricted Subsidiaries to pay final judgments entered by a court or courts of competent jurisdiction aggregating in excess of $50.0 million (to the extent not covered by insurance by a reputable and creditworthy insurer as to which the insurer has not disclaimed coverage), which judgments are not paid, discharged or stayed, for a period of 60 days;</w:t>
      </w:r>
    </w:p>
    <w:p>
      <w:pPr>
        <w:spacing w:after="0" w:line="136" w:lineRule="exact"/>
        <w:rPr>
          <w:rFonts w:ascii="Times New Roman" w:cs="Times New Roman" w:eastAsia="Times New Roman" w:hAnsi="Times New Roman"/>
          <w:sz w:val="19"/>
          <w:szCs w:val="19"/>
          <w:color w:val="auto"/>
        </w:rPr>
      </w:pPr>
    </w:p>
    <w:p>
      <w:pPr>
        <w:ind w:firstLine="1278"/>
        <w:spacing w:after="0" w:line="270" w:lineRule="auto"/>
        <w:tabs>
          <w:tab w:leader="none" w:pos="179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or any of the Issuer’s Restricted Subsidiaries that is a Significant Subsidiary or any group of Restricted Subsidiaries of the Issuer that, taken together, would constitute a Significant Subsidiary pursuant to or within the meaning of Bankruptcy Law:</w:t>
      </w:r>
    </w:p>
    <w:p>
      <w:pPr>
        <w:spacing w:after="0" w:line="131"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commences a voluntary case,</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to the entry of an order for relief against it in an involuntary case,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8" w:lineRule="exact"/>
        <w:rPr>
          <w:sz w:val="20"/>
          <w:szCs w:val="20"/>
          <w:color w:val="auto"/>
        </w:rPr>
      </w:pPr>
    </w:p>
    <w:p>
      <w:pPr>
        <w:ind w:left="2340" w:hanging="426"/>
        <w:spacing w:after="0"/>
        <w:tabs>
          <w:tab w:leader="none" w:pos="23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to the appointment of a custodian of it or for all or substantially all of its property,</w:t>
      </w:r>
    </w:p>
    <w:p>
      <w:pPr>
        <w:spacing w:after="0" w:line="179"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makes a general assignment for the benefit of its creditors, or</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is not paying its debts as they become due;</w:t>
      </w:r>
    </w:p>
    <w:p>
      <w:pPr>
        <w:spacing w:after="0" w:line="192"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court of competent jurisdiction enters an order or decree under any Bankruptcy Law that:</w:t>
      </w:r>
    </w:p>
    <w:p>
      <w:pPr>
        <w:spacing w:after="0" w:line="179" w:lineRule="exact"/>
        <w:rPr>
          <w:rFonts w:ascii="Times New Roman" w:cs="Times New Roman" w:eastAsia="Times New Roman" w:hAnsi="Times New Roman"/>
          <w:sz w:val="19"/>
          <w:szCs w:val="19"/>
          <w:color w:val="auto"/>
        </w:rPr>
      </w:pPr>
    </w:p>
    <w:p>
      <w:pPr>
        <w:ind w:left="640" w:right="20" w:firstLine="1274"/>
        <w:spacing w:after="0" w:line="270" w:lineRule="auto"/>
        <w:tabs>
          <w:tab w:leader="none" w:pos="2358"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for relief against the Issuer or any of the Issuer’s Restricted Subsidiaries that is a Significant Subsidiary or any group of Restricted Subsidiaries of the Issuer that, taken together, would constitute a Significant Subsidiary in an involuntary case;</w:t>
      </w:r>
    </w:p>
    <w:p>
      <w:pPr>
        <w:spacing w:after="0" w:line="131"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59"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appoints a custodian of the Issuer or any of the Issuer’s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w:t>
      </w:r>
    </w:p>
    <w:p>
      <w:pPr>
        <w:spacing w:after="0" w:line="154" w:lineRule="exact"/>
        <w:rPr>
          <w:rFonts w:ascii="Times New Roman" w:cs="Times New Roman" w:eastAsia="Times New Roman" w:hAnsi="Times New Roman"/>
          <w:sz w:val="19"/>
          <w:szCs w:val="19"/>
          <w:color w:val="auto"/>
        </w:rPr>
      </w:pPr>
    </w:p>
    <w:p>
      <w:pPr>
        <w:ind w:left="640" w:firstLine="1274"/>
        <w:spacing w:after="0" w:line="270" w:lineRule="auto"/>
        <w:tabs>
          <w:tab w:leader="none" w:pos="2345"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orders the liquidation of the Issuer or any of the Issuer’s Restricted Subsidiaries that is a Significant Subsidiary or any group of Restricted Subsidiaries of the Issuer that, taken together, would constitute a Significant Subsidiary;</w:t>
      </w:r>
    </w:p>
    <w:p>
      <w:pPr>
        <w:spacing w:after="0" w:line="1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and the order or decree remains unstayed and in effect for 60 consecutive days; and</w:t>
      </w:r>
    </w:p>
    <w:p>
      <w:pPr>
        <w:spacing w:after="0" w:line="192" w:lineRule="exact"/>
        <w:rPr>
          <w:sz w:val="20"/>
          <w:szCs w:val="20"/>
          <w:color w:val="auto"/>
        </w:rPr>
      </w:pPr>
    </w:p>
    <w:p>
      <w:pPr>
        <w:jc w:val="both"/>
        <w:ind w:firstLine="1278"/>
        <w:spacing w:after="0" w:line="251" w:lineRule="auto"/>
        <w:tabs>
          <w:tab w:leader="none" w:pos="173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by this Indenture, any Guarantee is held in any judicial proceeding to be unenforceable or invalid or ceases for any reason to be in full force and effect, or any Guarantor, or any Person acting on behalf of any Guarantor, denies or disaffirms its obligations under its Guarantee, except, in each case, by reason of the release of such Guarantee in accordance with this Indenture.</w:t>
      </w:r>
    </w:p>
    <w:p>
      <w:pPr>
        <w:spacing w:after="0" w:line="14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6.02</w:t>
      </w:r>
      <w:r>
        <w:rPr>
          <w:sz w:val="20"/>
          <w:szCs w:val="20"/>
          <w:color w:val="auto"/>
        </w:rPr>
        <w:tab/>
      </w:r>
      <w:r>
        <w:rPr>
          <w:rFonts w:ascii="Times New Roman" w:cs="Times New Roman" w:eastAsia="Times New Roman" w:hAnsi="Times New Roman"/>
          <w:sz w:val="19"/>
          <w:szCs w:val="19"/>
          <w:i w:val="1"/>
          <w:iCs w:val="1"/>
          <w:color w:val="auto"/>
        </w:rPr>
        <w:t>Acceleration.</w:t>
      </w:r>
    </w:p>
    <w:p>
      <w:pPr>
        <w:spacing w:after="0" w:line="181"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In the case of an Event of Default specified in clause (i) or (j) of Section 6.01, with respect to the Issuer,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Upon any such declaration, the Notes shall become due and payable immediately.</w:t>
      </w:r>
    </w:p>
    <w:p>
      <w:pPr>
        <w:spacing w:after="0" w:line="19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Holders of a majority in aggregate principal amount of the then outstanding Notes by written notice to the Trustee may, on behalf of the Holders of all of the Notes, rescind an acceleration under this Indenture, if the rescission would not conflict with any judgment or decree, except a continuing Default or Event of Default in the payment of principal of, or interest or premium, if any, on, the Notes.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6.03</w:t>
      </w:r>
      <w:r>
        <w:rPr>
          <w:sz w:val="20"/>
          <w:szCs w:val="20"/>
          <w:color w:val="auto"/>
        </w:rPr>
        <w:tab/>
      </w:r>
      <w:r>
        <w:rPr>
          <w:rFonts w:ascii="Times New Roman" w:cs="Times New Roman" w:eastAsia="Times New Roman" w:hAnsi="Times New Roman"/>
          <w:sz w:val="19"/>
          <w:szCs w:val="19"/>
          <w:i w:val="1"/>
          <w:iCs w:val="1"/>
          <w:color w:val="auto"/>
        </w:rPr>
        <w:t>Other Remedies.</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If an Event of Default occurs and is continuing, and is actually known to a Responsible Officer of the Trustee, the Trustee may pursue any available remedy to collect the payment of principal of, premium on, if any, or interest on, the Notes or to enforce the performance of any provision of the Notes or this Indenture.</w:t>
      </w:r>
    </w:p>
    <w:p>
      <w:pPr>
        <w:spacing w:after="0" w:line="149"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9"/>
          <w:szCs w:val="19"/>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37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6.04</w:t>
      </w:r>
      <w:r>
        <w:rPr>
          <w:sz w:val="20"/>
          <w:szCs w:val="20"/>
          <w:color w:val="auto"/>
        </w:rPr>
        <w:tab/>
      </w:r>
      <w:r>
        <w:rPr>
          <w:rFonts w:ascii="Times New Roman" w:cs="Times New Roman" w:eastAsia="Times New Roman" w:hAnsi="Times New Roman"/>
          <w:sz w:val="19"/>
          <w:szCs w:val="19"/>
          <w:i w:val="1"/>
          <w:iCs w:val="1"/>
          <w:color w:val="auto"/>
        </w:rPr>
        <w:t>Waiver of Past Defaults.</w:t>
      </w:r>
    </w:p>
    <w:p>
      <w:pPr>
        <w:spacing w:after="0" w:line="181"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or as otherwise specified in Section 9.02.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6.05</w:t>
      </w:r>
      <w:r>
        <w:rPr>
          <w:sz w:val="20"/>
          <w:szCs w:val="20"/>
          <w:color w:val="auto"/>
        </w:rPr>
        <w:tab/>
      </w:r>
      <w:r>
        <w:rPr>
          <w:rFonts w:ascii="Times New Roman" w:cs="Times New Roman" w:eastAsia="Times New Roman" w:hAnsi="Times New Roman"/>
          <w:sz w:val="19"/>
          <w:szCs w:val="19"/>
          <w:i w:val="1"/>
          <w:iCs w:val="1"/>
          <w:color w:val="auto"/>
        </w:rPr>
        <w:t>Control by Majority.</w:t>
      </w:r>
    </w:p>
    <w:p>
      <w:pPr>
        <w:spacing w:after="0" w:line="194"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 (provided that the Trustee shall have no affirmative duty to determine whether any direction is prejudicial to any other Holder).</w:t>
      </w:r>
    </w:p>
    <w:p>
      <w:pPr>
        <w:spacing w:after="0" w:line="14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6.06</w:t>
      </w:r>
      <w:r>
        <w:rPr>
          <w:sz w:val="20"/>
          <w:szCs w:val="20"/>
          <w:color w:val="auto"/>
        </w:rPr>
        <w:tab/>
      </w:r>
      <w:r>
        <w:rPr>
          <w:rFonts w:ascii="Times New Roman" w:cs="Times New Roman" w:eastAsia="Times New Roman" w:hAnsi="Times New Roman"/>
          <w:sz w:val="19"/>
          <w:szCs w:val="19"/>
          <w:i w:val="1"/>
          <w:iCs w:val="1"/>
          <w:color w:val="auto"/>
        </w:rPr>
        <w:t>Limitation on Suits.</w:t>
      </w:r>
    </w:p>
    <w:p>
      <w:pPr>
        <w:spacing w:after="0" w:line="194" w:lineRule="exact"/>
        <w:rPr>
          <w:sz w:val="20"/>
          <w:szCs w:val="20"/>
          <w:color w:val="auto"/>
        </w:rPr>
      </w:pPr>
    </w:p>
    <w:p>
      <w:pPr>
        <w:jc w:val="both"/>
        <w:ind w:right="20" w:firstLine="636"/>
        <w:spacing w:after="0" w:line="270" w:lineRule="auto"/>
        <w:rPr>
          <w:sz w:val="20"/>
          <w:szCs w:val="20"/>
          <w:color w:val="auto"/>
        </w:rPr>
      </w:pPr>
      <w:r>
        <w:rPr>
          <w:rFonts w:ascii="Times New Roman" w:cs="Times New Roman" w:eastAsia="Times New Roman" w:hAnsi="Times New Roman"/>
          <w:sz w:val="19"/>
          <w:szCs w:val="19"/>
          <w:color w:val="auto"/>
        </w:rPr>
        <w:t>Except to enforce the right to receive payment of principal, premium, if any, or interest, if any, when due, no holder of a Note may pursue any remedy with respect to this Indenture or the Notes unless:</w:t>
      </w:r>
    </w:p>
    <w:p>
      <w:pPr>
        <w:spacing w:after="0" w:line="131" w:lineRule="exact"/>
        <w:rPr>
          <w:sz w:val="20"/>
          <w:szCs w:val="20"/>
          <w:color w:val="auto"/>
        </w:rPr>
      </w:pPr>
    </w:p>
    <w:p>
      <w:pPr>
        <w:ind w:left="1680" w:hanging="402"/>
        <w:spacing w:after="0"/>
        <w:tabs>
          <w:tab w:leader="none" w:pos="168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has previously given the Trustee written notice that an Event of Default is continuing;</w:t>
      </w:r>
    </w:p>
    <w:p>
      <w:pPr>
        <w:spacing w:after="0" w:line="179" w:lineRule="exact"/>
        <w:rPr>
          <w:rFonts w:ascii="Times New Roman" w:cs="Times New Roman" w:eastAsia="Times New Roman" w:hAnsi="Times New Roman"/>
          <w:sz w:val="19"/>
          <w:szCs w:val="19"/>
          <w:color w:val="auto"/>
        </w:rPr>
      </w:pPr>
    </w:p>
    <w:p>
      <w:pPr>
        <w:ind w:left="1720" w:hanging="442"/>
        <w:spacing w:after="0"/>
        <w:tabs>
          <w:tab w:leader="none" w:pos="172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of at least 25% in aggregate principal amount of the then outstanding Notes make a written request to the Trustee</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pursue the remedy;</w:t>
      </w:r>
    </w:p>
    <w:p>
      <w:pPr>
        <w:spacing w:after="0" w:line="170" w:lineRule="exact"/>
        <w:rPr>
          <w:rFonts w:ascii="Times New Roman" w:cs="Times New Roman" w:eastAsia="Times New Roman" w:hAnsi="Times New Roman"/>
          <w:sz w:val="19"/>
          <w:szCs w:val="19"/>
          <w:color w:val="auto"/>
        </w:rPr>
      </w:pPr>
    </w:p>
    <w:p>
      <w:pPr>
        <w:ind w:firstLine="1278"/>
        <w:spacing w:after="0" w:line="270" w:lineRule="auto"/>
        <w:tabs>
          <w:tab w:leader="none" w:pos="1756"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or Holders offer and, if requested, provide to the Trustee security or indemnity satisfactory to the Trustee against any loss, liability or expense;</w:t>
      </w:r>
    </w:p>
    <w:p>
      <w:pPr>
        <w:spacing w:after="0" w:line="131" w:lineRule="exact"/>
        <w:rPr>
          <w:rFonts w:ascii="Times New Roman" w:cs="Times New Roman" w:eastAsia="Times New Roman" w:hAnsi="Times New Roman"/>
          <w:sz w:val="19"/>
          <w:szCs w:val="19"/>
          <w:color w:val="auto"/>
        </w:rPr>
      </w:pPr>
    </w:p>
    <w:p>
      <w:pPr>
        <w:ind w:left="1780" w:hanging="502"/>
        <w:spacing w:after="0"/>
        <w:tabs>
          <w:tab w:leader="none" w:pos="178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does not comply with such request within 60 days after receipt of the request and the offer of security or</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indemnity;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8" w:lineRule="exact"/>
        <w:rPr>
          <w:sz w:val="20"/>
          <w:szCs w:val="20"/>
          <w:color w:val="auto"/>
        </w:rPr>
      </w:pPr>
    </w:p>
    <w:p>
      <w:pPr>
        <w:ind w:firstLine="1278"/>
        <w:spacing w:after="0" w:line="270" w:lineRule="auto"/>
        <w:tabs>
          <w:tab w:leader="none" w:pos="170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such 60-day period, Holders of a majority in aggregate principal amount of the then outstanding Notes do not give the Trustee a direction inconsistent with such request.</w:t>
      </w:r>
    </w:p>
    <w:p>
      <w:pPr>
        <w:spacing w:after="0" w:line="118"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A Holder of a Note may not use this Indenture to prejudice the rights of another Holder of a Note or to obtain a preference or priority over another Holder of a Note.</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6.07</w:t>
      </w:r>
      <w:r>
        <w:rPr>
          <w:sz w:val="20"/>
          <w:szCs w:val="20"/>
          <w:color w:val="auto"/>
        </w:rPr>
        <w:tab/>
      </w:r>
      <w:r>
        <w:rPr>
          <w:rFonts w:ascii="Times New Roman" w:cs="Times New Roman" w:eastAsia="Times New Roman" w:hAnsi="Times New Roman"/>
          <w:sz w:val="19"/>
          <w:szCs w:val="19"/>
          <w:i w:val="1"/>
          <w:iCs w:val="1"/>
          <w:color w:val="auto"/>
        </w:rPr>
        <w:t>Rights of Holders of Notes to Receive Payment.</w:t>
      </w:r>
    </w:p>
    <w:p>
      <w:pPr>
        <w:spacing w:after="0" w:line="194"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9"/>
          <w:szCs w:val="19"/>
          <w:color w:val="auto"/>
        </w:rPr>
        <w:t>Notwithstanding any other provision of this Indenture, the right of any Holder of a Note to receive payment of principal of, premium on, if any, or interest on, the Note, on or after the respective due dates expressed in the Note, or to bring suit for the enforcement of any such payment on or after such respective dates, shall not be amended or modified in a manner adverse to such Holder without the consent of such Holder.</w:t>
      </w:r>
    </w:p>
    <w:p>
      <w:pPr>
        <w:spacing w:after="0" w:line="36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6.08</w:t>
      </w:r>
      <w:r>
        <w:rPr>
          <w:sz w:val="20"/>
          <w:szCs w:val="20"/>
          <w:color w:val="auto"/>
        </w:rPr>
        <w:tab/>
      </w:r>
      <w:r>
        <w:rPr>
          <w:rFonts w:ascii="Times New Roman" w:cs="Times New Roman" w:eastAsia="Times New Roman" w:hAnsi="Times New Roman"/>
          <w:sz w:val="19"/>
          <w:szCs w:val="19"/>
          <w:i w:val="1"/>
          <w:iCs w:val="1"/>
          <w:color w:val="auto"/>
        </w:rPr>
        <w:t>Collection Suit by Trustee.</w:t>
      </w:r>
    </w:p>
    <w:p>
      <w:pPr>
        <w:spacing w:after="0" w:line="194"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If an Event of Default specified in Section 6.01(a) or (b) occurs and is continuing, the Trustee is authorized to recover judgment in its own name and as trustee of an express trust against the Issuer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37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6.09</w:t>
      </w:r>
      <w:r>
        <w:rPr>
          <w:sz w:val="20"/>
          <w:szCs w:val="20"/>
          <w:color w:val="auto"/>
        </w:rPr>
        <w:tab/>
      </w:r>
      <w:r>
        <w:rPr>
          <w:rFonts w:ascii="Times New Roman" w:cs="Times New Roman" w:eastAsia="Times New Roman" w:hAnsi="Times New Roman"/>
          <w:sz w:val="19"/>
          <w:szCs w:val="19"/>
          <w:i w:val="1"/>
          <w:iCs w:val="1"/>
          <w:color w:val="auto"/>
        </w:rPr>
        <w:t>Trustee May File Proofs of Claim.</w:t>
      </w:r>
    </w:p>
    <w:p>
      <w:pPr>
        <w:spacing w:after="0" w:line="181"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6.10</w:t>
      </w:r>
      <w:r>
        <w:rPr>
          <w:sz w:val="20"/>
          <w:szCs w:val="20"/>
          <w:color w:val="auto"/>
        </w:rPr>
        <w:tab/>
      </w:r>
      <w:r>
        <w:rPr>
          <w:rFonts w:ascii="Times New Roman" w:cs="Times New Roman" w:eastAsia="Times New Roman" w:hAnsi="Times New Roman"/>
          <w:sz w:val="19"/>
          <w:szCs w:val="19"/>
          <w:i w:val="1"/>
          <w:iCs w:val="1"/>
          <w:color w:val="auto"/>
        </w:rPr>
        <w:t>Priorities.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the Trustee collects any money pursuant to this Article 6, it shall pay out the money in the following order: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6" w:lineRule="exact"/>
        <w:rPr>
          <w:sz w:val="20"/>
          <w:szCs w:val="20"/>
          <w:color w:val="auto"/>
        </w:rPr>
      </w:pPr>
    </w:p>
    <w:p>
      <w:pPr>
        <w:jc w:val="both"/>
        <w:ind w:left="640" w:firstLine="636"/>
        <w:spacing w:after="0" w:line="273" w:lineRule="auto"/>
        <w:rPr>
          <w:sz w:val="20"/>
          <w:szCs w:val="20"/>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Trustee, its agents and attorneys for amounts due under this Indenture, including payment of all compensation,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expenses and liabilities incurred, and all advances made, by the Trustee and the costs and expenses of collection;</w:t>
      </w:r>
    </w:p>
    <w:p>
      <w:pPr>
        <w:spacing w:after="0" w:line="112" w:lineRule="exact"/>
        <w:rPr>
          <w:sz w:val="20"/>
          <w:szCs w:val="20"/>
          <w:color w:val="auto"/>
        </w:rPr>
      </w:pPr>
    </w:p>
    <w:p>
      <w:pPr>
        <w:jc w:val="both"/>
        <w:ind w:left="640" w:firstLine="636"/>
        <w:spacing w:after="0" w:line="252" w:lineRule="auto"/>
        <w:rPr>
          <w:sz w:val="20"/>
          <w:szCs w:val="20"/>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Holders of the Notes for amounts due and unpaid on the Notes for principal, premium, if any, and interest, ratably,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without preference or priority of any kind, according to the amounts due and payable on the Notes for principal, premium, if any, and interest, respectively; and</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Issuer or to such party as a court of competent jurisdiction shall direct.</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Trustee may fix a record date and payment date for any payment to Holders of the Notes pursuant to this Section 6.10.</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6.11</w:t>
      </w:r>
      <w:r>
        <w:rPr>
          <w:sz w:val="20"/>
          <w:szCs w:val="20"/>
          <w:color w:val="auto"/>
        </w:rPr>
        <w:tab/>
      </w:r>
      <w:r>
        <w:rPr>
          <w:rFonts w:ascii="Times New Roman" w:cs="Times New Roman" w:eastAsia="Times New Roman" w:hAnsi="Times New Roman"/>
          <w:sz w:val="19"/>
          <w:szCs w:val="19"/>
          <w:i w:val="1"/>
          <w:iCs w:val="1"/>
          <w:color w:val="auto"/>
        </w:rPr>
        <w:t>Undertaking for Costs.</w:t>
      </w:r>
    </w:p>
    <w:p>
      <w:pPr>
        <w:spacing w:after="0" w:line="19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ARTICLE 7</w:t>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TRUSTEE</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7.01</w:t>
      </w:r>
      <w:r>
        <w:rPr>
          <w:sz w:val="20"/>
          <w:szCs w:val="20"/>
          <w:color w:val="auto"/>
        </w:rPr>
        <w:tab/>
      </w:r>
      <w:r>
        <w:rPr>
          <w:rFonts w:ascii="Times New Roman" w:cs="Times New Roman" w:eastAsia="Times New Roman" w:hAnsi="Times New Roman"/>
          <w:sz w:val="19"/>
          <w:szCs w:val="19"/>
          <w:i w:val="1"/>
          <w:iCs w:val="1"/>
          <w:color w:val="auto"/>
        </w:rPr>
        <w:t>Duties of Trustee.</w:t>
      </w:r>
    </w:p>
    <w:p>
      <w:pPr>
        <w:spacing w:after="0" w:line="194" w:lineRule="exact"/>
        <w:rPr>
          <w:sz w:val="20"/>
          <w:szCs w:val="20"/>
          <w:color w:val="auto"/>
        </w:rPr>
      </w:pPr>
    </w:p>
    <w:p>
      <w:pPr>
        <w:jc w:val="both"/>
        <w:ind w:firstLine="1278"/>
        <w:spacing w:after="0" w:line="251" w:lineRule="auto"/>
        <w:tabs>
          <w:tab w:leader="none" w:pos="1726"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man would exercise or use under the circumstances in the conduct of his own affairs under the same circumstances.</w:t>
      </w:r>
    </w:p>
    <w:p>
      <w:pPr>
        <w:spacing w:after="0" w:line="149"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during the continuance of an Event of Default:</w:t>
      </w:r>
    </w:p>
    <w:p>
      <w:pPr>
        <w:spacing w:after="0" w:line="179"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35"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49"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61"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54" w:lineRule="exact"/>
        <w:rPr>
          <w:rFonts w:ascii="Times New Roman" w:cs="Times New Roman" w:eastAsia="Times New Roman" w:hAnsi="Times New Roman"/>
          <w:sz w:val="19"/>
          <w:szCs w:val="19"/>
          <w:color w:val="auto"/>
        </w:rPr>
      </w:pPr>
    </w:p>
    <w:p>
      <w:pPr>
        <w:ind w:firstLine="1278"/>
        <w:spacing w:after="0" w:line="270" w:lineRule="auto"/>
        <w:tabs>
          <w:tab w:leader="none" w:pos="1722"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not be relieved from liabilities for its own grossly negligent action, its own grossly negligent failure to act, or its own willful misconduct, except that: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8" w:lineRule="exact"/>
        <w:rPr>
          <w:sz w:val="20"/>
          <w:szCs w:val="20"/>
          <w:color w:val="auto"/>
        </w:rPr>
      </w:pPr>
    </w:p>
    <w:p>
      <w:pPr>
        <w:ind w:left="2340" w:hanging="426"/>
        <w:spacing w:after="0"/>
        <w:tabs>
          <w:tab w:leader="none" w:pos="2340"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paragraph does not limit the effect of paragraph (b) of this Section 7.01;</w:t>
      </w:r>
    </w:p>
    <w:p>
      <w:pPr>
        <w:spacing w:after="0" w:line="179" w:lineRule="exact"/>
        <w:rPr>
          <w:rFonts w:ascii="Times New Roman" w:cs="Times New Roman" w:eastAsia="Times New Roman" w:hAnsi="Times New Roman"/>
          <w:sz w:val="19"/>
          <w:szCs w:val="19"/>
          <w:color w:val="auto"/>
        </w:rPr>
      </w:pPr>
    </w:p>
    <w:p>
      <w:pPr>
        <w:ind w:left="640" w:right="20" w:firstLine="1274"/>
        <w:spacing w:after="0" w:line="270" w:lineRule="auto"/>
        <w:tabs>
          <w:tab w:leader="none" w:pos="2373"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not be liable for any error of judgment made in good faith by a Responsible Officer, unless it is proved that the Trustee was grossly negligent in ascertaining the pertinent facts; and</w:t>
      </w:r>
    </w:p>
    <w:p>
      <w:pPr>
        <w:spacing w:after="0" w:line="131" w:lineRule="exact"/>
        <w:rPr>
          <w:rFonts w:ascii="Times New Roman" w:cs="Times New Roman" w:eastAsia="Times New Roman" w:hAnsi="Times New Roman"/>
          <w:sz w:val="19"/>
          <w:szCs w:val="19"/>
          <w:color w:val="auto"/>
        </w:rPr>
      </w:pPr>
    </w:p>
    <w:p>
      <w:pPr>
        <w:ind w:left="640" w:firstLine="1274"/>
        <w:spacing w:after="0" w:line="270" w:lineRule="auto"/>
        <w:tabs>
          <w:tab w:leader="none" w:pos="2344"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not be liable with respect to any action it takes or omits to take in good faith in accordance with a direction received by it pursuant to Section 6.05.</w:t>
      </w:r>
    </w:p>
    <w:p>
      <w:pPr>
        <w:spacing w:after="0" w:line="131" w:lineRule="exact"/>
        <w:rPr>
          <w:rFonts w:ascii="Times New Roman" w:cs="Times New Roman" w:eastAsia="Times New Roman" w:hAnsi="Times New Roman"/>
          <w:sz w:val="19"/>
          <w:szCs w:val="19"/>
          <w:color w:val="auto"/>
        </w:rPr>
      </w:pPr>
    </w:p>
    <w:p>
      <w:pPr>
        <w:ind w:firstLine="1278"/>
        <w:spacing w:after="0" w:line="270" w:lineRule="auto"/>
        <w:tabs>
          <w:tab w:leader="none" w:pos="17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or not therein expressly so provided, every provision of this Indenture that in any way relates to the Trustee is subject to this Section 7.01 and Section 7.02.</w:t>
      </w:r>
    </w:p>
    <w:p>
      <w:pPr>
        <w:spacing w:after="0" w:line="117"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2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will require the Trustee to expend or risk its own funds or incur any liability. The Trustee will be under no obligation to exercise any of the rights or powers under this Indenture at the request or direction of any Holders of the Notes unless such Holders have offered, and if requested, provided to the Trustee indemnity or security satisfactory to the Trustee against any loss, liability or expense.</w:t>
      </w:r>
    </w:p>
    <w:p>
      <w:pPr>
        <w:spacing w:after="0" w:line="154" w:lineRule="exact"/>
        <w:rPr>
          <w:rFonts w:ascii="Times New Roman" w:cs="Times New Roman" w:eastAsia="Times New Roman" w:hAnsi="Times New Roman"/>
          <w:sz w:val="19"/>
          <w:szCs w:val="19"/>
          <w:color w:val="auto"/>
        </w:rPr>
      </w:pPr>
    </w:p>
    <w:p>
      <w:pPr>
        <w:ind w:firstLine="1278"/>
        <w:spacing w:after="0" w:line="270" w:lineRule="auto"/>
        <w:tabs>
          <w:tab w:leader="none" w:pos="1674"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7.02</w:t>
      </w:r>
      <w:r>
        <w:rPr>
          <w:sz w:val="20"/>
          <w:szCs w:val="20"/>
          <w:color w:val="auto"/>
        </w:rPr>
        <w:tab/>
      </w:r>
      <w:r>
        <w:rPr>
          <w:rFonts w:ascii="Times New Roman" w:cs="Times New Roman" w:eastAsia="Times New Roman" w:hAnsi="Times New Roman"/>
          <w:sz w:val="19"/>
          <w:szCs w:val="19"/>
          <w:i w:val="1"/>
          <w:iCs w:val="1"/>
          <w:color w:val="auto"/>
        </w:rPr>
        <w:t>Rights of Trustee.</w:t>
      </w:r>
    </w:p>
    <w:p>
      <w:pPr>
        <w:spacing w:after="0" w:line="181" w:lineRule="exact"/>
        <w:rPr>
          <w:sz w:val="20"/>
          <w:szCs w:val="20"/>
          <w:color w:val="auto"/>
        </w:rPr>
      </w:pPr>
    </w:p>
    <w:p>
      <w:pPr>
        <w:jc w:val="both"/>
        <w:ind w:firstLine="642"/>
        <w:spacing w:after="0" w:line="251" w:lineRule="auto"/>
        <w:tabs>
          <w:tab w:leader="none" w:pos="1207"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49" w:lineRule="exact"/>
        <w:rPr>
          <w:rFonts w:ascii="Times New Roman" w:cs="Times New Roman" w:eastAsia="Times New Roman" w:hAnsi="Times New Roman"/>
          <w:sz w:val="19"/>
          <w:szCs w:val="19"/>
          <w:color w:val="auto"/>
        </w:rPr>
      </w:pPr>
    </w:p>
    <w:p>
      <w:pPr>
        <w:jc w:val="both"/>
        <w:ind w:firstLine="642"/>
        <w:spacing w:after="0" w:line="245" w:lineRule="auto"/>
        <w:tabs>
          <w:tab w:leader="none" w:pos="1141"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54" w:lineRule="exact"/>
        <w:rPr>
          <w:rFonts w:ascii="Times New Roman" w:cs="Times New Roman" w:eastAsia="Times New Roman" w:hAnsi="Times New Roman"/>
          <w:sz w:val="19"/>
          <w:szCs w:val="19"/>
          <w:color w:val="auto"/>
        </w:rPr>
      </w:pPr>
    </w:p>
    <w:p>
      <w:pPr>
        <w:ind w:firstLine="642"/>
        <w:spacing w:after="0" w:line="270" w:lineRule="auto"/>
        <w:tabs>
          <w:tab w:leader="none" w:pos="1095"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act through its attorneys and agents and will not be responsible for the misconduct or negligence of any agent appointed with due care.</w:t>
      </w:r>
    </w:p>
    <w:p>
      <w:pPr>
        <w:spacing w:after="0" w:line="117" w:lineRule="exact"/>
        <w:rPr>
          <w:rFonts w:ascii="Times New Roman" w:cs="Times New Roman" w:eastAsia="Times New Roman" w:hAnsi="Times New Roman"/>
          <w:sz w:val="19"/>
          <w:szCs w:val="19"/>
          <w:color w:val="auto"/>
        </w:rPr>
      </w:pPr>
    </w:p>
    <w:p>
      <w:pPr>
        <w:ind w:firstLine="642"/>
        <w:spacing w:after="0" w:line="270" w:lineRule="auto"/>
        <w:tabs>
          <w:tab w:leader="none" w:pos="1097"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not be liable for any action it takes or omits to take in good faith that it believes to be authorized or within the rights or powers conferred upon it by this Indenture.</w:t>
      </w:r>
    </w:p>
    <w:p>
      <w:pPr>
        <w:spacing w:after="0" w:line="131" w:lineRule="exact"/>
        <w:rPr>
          <w:rFonts w:ascii="Times New Roman" w:cs="Times New Roman" w:eastAsia="Times New Roman" w:hAnsi="Times New Roman"/>
          <w:sz w:val="19"/>
          <w:szCs w:val="19"/>
          <w:color w:val="auto"/>
        </w:rPr>
      </w:pPr>
    </w:p>
    <w:p>
      <w:pPr>
        <w:ind w:firstLine="642"/>
        <w:spacing w:after="0" w:line="270" w:lineRule="auto"/>
        <w:tabs>
          <w:tab w:leader="none" w:pos="1053"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specifically provided in this Indenture, any demand, request, direction or notice from the Issuer will be sufficient if signed by an Officer of the Issuer.</w:t>
      </w:r>
    </w:p>
    <w:p>
      <w:pPr>
        <w:spacing w:after="0" w:line="131" w:lineRule="exact"/>
        <w:rPr>
          <w:rFonts w:ascii="Times New Roman" w:cs="Times New Roman" w:eastAsia="Times New Roman" w:hAnsi="Times New Roman"/>
          <w:sz w:val="19"/>
          <w:szCs w:val="19"/>
          <w:color w:val="auto"/>
        </w:rPr>
      </w:pPr>
    </w:p>
    <w:p>
      <w:pPr>
        <w:jc w:val="both"/>
        <w:ind w:firstLine="642"/>
        <w:spacing w:after="0" w:line="251" w:lineRule="auto"/>
        <w:tabs>
          <w:tab w:leader="none" w:pos="110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 In no event shall the Trustee be liable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to any Person for special, punitive, indirect, incidental, consequential or incidental loss or damage of any kind whatsoever (including, but not limited to, lost profits) for any action it takes or omits to take, even if the Trustee has been advised of the likelihood of such loss or damage.</w:t>
      </w:r>
    </w:p>
    <w:p>
      <w:pPr>
        <w:spacing w:after="0" w:line="118" w:lineRule="exact"/>
        <w:rPr>
          <w:sz w:val="20"/>
          <w:szCs w:val="20"/>
          <w:color w:val="auto"/>
        </w:rPr>
      </w:pPr>
    </w:p>
    <w:p>
      <w:pPr>
        <w:ind w:firstLine="1278"/>
        <w:spacing w:after="0" w:line="270" w:lineRule="auto"/>
        <w:tabs>
          <w:tab w:leader="none" w:pos="1744"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deemed to have notice of a Default or an Event of Default unless a Responsible Officer of the Trustee has actual knowledge of such Default or Event of Default.</w:t>
      </w:r>
    </w:p>
    <w:p>
      <w:pPr>
        <w:spacing w:after="0" w:line="131"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28"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7.01(b)(2), the Trustee shall not be bound to make any investigation into the facts or matters stated in any resolution, certificate, statement, instrument, opinion, report, notice, request, direction, consent, order, judgment, bond, debenture, note, other evidence of indebtedness or other paper or document, but the Trustee, in its discretion, may make such further inquiry or investigation into such facts or matters as it may see fit.</w:t>
      </w:r>
    </w:p>
    <w:p>
      <w:pPr>
        <w:spacing w:after="0" w:line="154"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86"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36"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permissive rights of the Trustee enumerated herein shall not be construed as duties.</w:t>
      </w:r>
    </w:p>
    <w:p>
      <w:pPr>
        <w:spacing w:after="0" w:line="192" w:lineRule="exact"/>
        <w:rPr>
          <w:rFonts w:ascii="Times New Roman" w:cs="Times New Roman" w:eastAsia="Times New Roman" w:hAnsi="Times New Roman"/>
          <w:sz w:val="19"/>
          <w:szCs w:val="19"/>
          <w:color w:val="auto"/>
        </w:rPr>
      </w:pPr>
    </w:p>
    <w:p>
      <w:pPr>
        <w:jc w:val="both"/>
        <w:ind w:firstLine="1278"/>
        <w:spacing w:after="0" w:line="242" w:lineRule="auto"/>
        <w:tabs>
          <w:tab w:leader="none" w:pos="1712"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recitals contained herein and in the Notes, except for the Trustee’s certificates of authentication, shall be taken as the statements of the Issuer and the Guarantors, as applicable, and shall not be taken as the statements of the Trustee,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w:t>
      </w:r>
    </w:p>
    <w:p>
      <w:pPr>
        <w:spacing w:after="0" w:line="157"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28"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have no duty to ascertain or inquire as to the performance or observance of any of the terms of this Indenture or any other documents or agreements entered into in connection with the transactions contemplated hereby by the Issuer or any other party hereto.</w:t>
      </w:r>
    </w:p>
    <w:p>
      <w:pPr>
        <w:spacing w:after="0" w:line="136" w:lineRule="exact"/>
        <w:rPr>
          <w:rFonts w:ascii="Times New Roman" w:cs="Times New Roman" w:eastAsia="Times New Roman" w:hAnsi="Times New Roman"/>
          <w:sz w:val="19"/>
          <w:szCs w:val="19"/>
          <w:color w:val="auto"/>
        </w:rPr>
      </w:pPr>
    </w:p>
    <w:p>
      <w:pPr>
        <w:jc w:val="both"/>
        <w:ind w:firstLine="1278"/>
        <w:spacing w:after="0"/>
        <w:tabs>
          <w:tab w:leader="none" w:pos="18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7.03</w:t>
      </w:r>
      <w:r>
        <w:rPr>
          <w:sz w:val="20"/>
          <w:szCs w:val="20"/>
          <w:color w:val="auto"/>
        </w:rPr>
        <w:tab/>
      </w:r>
      <w:r>
        <w:rPr>
          <w:rFonts w:ascii="Times New Roman" w:cs="Times New Roman" w:eastAsia="Times New Roman" w:hAnsi="Times New Roman"/>
          <w:sz w:val="19"/>
          <w:szCs w:val="19"/>
          <w:i w:val="1"/>
          <w:iCs w:val="1"/>
          <w:color w:val="auto"/>
        </w:rPr>
        <w:t>Individual Rights of Trustee.</w:t>
      </w:r>
    </w:p>
    <w:p>
      <w:pPr>
        <w:spacing w:after="0" w:line="194"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in the TIA) after a Default has occurred and is continuing it must eliminate such conflict within 90 days or resign. Any Agent may do the same with like rights and duties. The Trustee is also subject to Section 7.10.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7.04</w:t>
      </w:r>
      <w:r>
        <w:rPr>
          <w:sz w:val="20"/>
          <w:szCs w:val="20"/>
          <w:color w:val="auto"/>
        </w:rPr>
        <w:tab/>
      </w:r>
      <w:r>
        <w:rPr>
          <w:rFonts w:ascii="Times New Roman" w:cs="Times New Roman" w:eastAsia="Times New Roman" w:hAnsi="Times New Roman"/>
          <w:sz w:val="18"/>
          <w:szCs w:val="18"/>
          <w:i w:val="1"/>
          <w:iCs w:val="1"/>
          <w:color w:val="auto"/>
        </w:rPr>
        <w:t>Trustee’s Disclaimer.</w:t>
      </w:r>
    </w:p>
    <w:p>
      <w:pPr>
        <w:spacing w:after="0" w:line="181"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The Trustee will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7.05</w:t>
      </w:r>
      <w:r>
        <w:rPr>
          <w:sz w:val="20"/>
          <w:szCs w:val="20"/>
          <w:color w:val="auto"/>
        </w:rPr>
        <w:tab/>
      </w:r>
      <w:r>
        <w:rPr>
          <w:rFonts w:ascii="Times New Roman" w:cs="Times New Roman" w:eastAsia="Times New Roman" w:hAnsi="Times New Roman"/>
          <w:sz w:val="19"/>
          <w:szCs w:val="19"/>
          <w:i w:val="1"/>
          <w:iCs w:val="1"/>
          <w:color w:val="auto"/>
        </w:rPr>
        <w:t>Notice of Defaults.</w:t>
      </w:r>
    </w:p>
    <w:p>
      <w:pPr>
        <w:spacing w:after="0" w:line="19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If a Default or Event of Default occurs and is continuing and if it is actually known to a Responsible Officer of the Trustee, the Trustee will send to Holders of the Notes a notice of the Default or Event of Default within 90 days after the Trustee gains knowledge of any such Default or Event of Default unless such Default or Event of Default shall have been cured or waived before the giving of such notice.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36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7.06</w:t>
      </w:r>
      <w:r>
        <w:rPr>
          <w:sz w:val="20"/>
          <w:szCs w:val="20"/>
          <w:color w:val="auto"/>
        </w:rPr>
        <w:tab/>
      </w:r>
      <w:r>
        <w:rPr>
          <w:rFonts w:ascii="Times New Roman" w:cs="Times New Roman" w:eastAsia="Times New Roman" w:hAnsi="Times New Roman"/>
          <w:sz w:val="19"/>
          <w:szCs w:val="19"/>
          <w:i w:val="1"/>
          <w:iCs w:val="1"/>
          <w:color w:val="auto"/>
        </w:rPr>
        <w:t>[Reserved].</w:t>
      </w:r>
    </w:p>
    <w:p>
      <w:pPr>
        <w:spacing w:after="0" w:line="19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7.07</w:t>
      </w:r>
      <w:r>
        <w:rPr>
          <w:sz w:val="20"/>
          <w:szCs w:val="20"/>
          <w:color w:val="auto"/>
        </w:rPr>
        <w:tab/>
      </w:r>
      <w:r>
        <w:rPr>
          <w:rFonts w:ascii="Times New Roman" w:cs="Times New Roman" w:eastAsia="Times New Roman" w:hAnsi="Times New Roman"/>
          <w:sz w:val="19"/>
          <w:szCs w:val="19"/>
          <w:i w:val="1"/>
          <w:iCs w:val="1"/>
          <w:color w:val="auto"/>
        </w:rPr>
        <w:t>Compensation and Indemnity.</w:t>
      </w:r>
    </w:p>
    <w:p>
      <w:pPr>
        <w:spacing w:after="0" w:line="194" w:lineRule="exact"/>
        <w:rPr>
          <w:sz w:val="20"/>
          <w:szCs w:val="20"/>
          <w:color w:val="auto"/>
        </w:rPr>
      </w:pPr>
    </w:p>
    <w:p>
      <w:pPr>
        <w:jc w:val="both"/>
        <w:ind w:firstLine="1278"/>
        <w:spacing w:after="0"/>
        <w:tabs>
          <w:tab w:leader="none" w:pos="1727"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will pay to the Trustee (in its capacity as Trustee, and, to the extent it has been appointed as such, as Paying Agent and Registrar) from time to time reasonable compensation for its acceptance of this Indenture and services hereunder in accordance with a written schedule provided to the Issuer by the Trustee.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46" w:lineRule="exact"/>
        <w:rPr>
          <w:rFonts w:ascii="Times New Roman" w:cs="Times New Roman" w:eastAsia="Times New Roman" w:hAnsi="Times New Roman"/>
          <w:sz w:val="19"/>
          <w:szCs w:val="19"/>
          <w:color w:val="auto"/>
        </w:rPr>
      </w:pPr>
    </w:p>
    <w:p>
      <w:pPr>
        <w:jc w:val="both"/>
        <w:ind w:firstLine="1278"/>
        <w:spacing w:after="0" w:line="237" w:lineRule="auto"/>
        <w:tabs>
          <w:tab w:leader="none" w:pos="176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and the Guarantors will, jointly and severally, indemnify and hold harmless the Trustee against any and all losses, liabilities or expenses incurred by it arising out of or in connection with the acceptance or administration of its duties under this Indenture, including the costs and expenses (including attorneys’ fees)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third party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61" w:lineRule="exact"/>
        <w:rPr>
          <w:rFonts w:ascii="Times New Roman" w:cs="Times New Roman" w:eastAsia="Times New Roman" w:hAnsi="Times New Roman"/>
          <w:sz w:val="19"/>
          <w:szCs w:val="19"/>
          <w:color w:val="auto"/>
        </w:rPr>
      </w:pPr>
    </w:p>
    <w:p>
      <w:pPr>
        <w:ind w:firstLine="1278"/>
        <w:spacing w:after="0" w:line="270" w:lineRule="auto"/>
        <w:tabs>
          <w:tab w:leader="none" w:pos="169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Issuer and the Guarantors under this Section 7.07 will survive the satisfaction and discharge of this Indenture and the resignation or removal of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8" w:lineRule="exact"/>
        <w:rPr>
          <w:sz w:val="20"/>
          <w:szCs w:val="20"/>
          <w:color w:val="auto"/>
        </w:rPr>
      </w:pPr>
    </w:p>
    <w:p>
      <w:pPr>
        <w:jc w:val="both"/>
        <w:ind w:firstLine="1278"/>
        <w:spacing w:after="0" w:line="251" w:lineRule="auto"/>
        <w:tabs>
          <w:tab w:leader="none" w:pos="1722"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secure the Issuer’s and the Guarantors’ payment obligations in this Section 7.07,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36"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17"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the Trustee incurs expenses or renders services after an Event of Default specified in Section 6.01(i) or (j) occurs, the expenses and the compensation for the services (including the fees and expenses of its agents and counsel) are intended to constitute administrative expenses for purposes of priority under any Bankruptcy Law.</w:t>
      </w:r>
    </w:p>
    <w:p>
      <w:pPr>
        <w:spacing w:after="0" w:line="14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7.08</w:t>
      </w:r>
      <w:r>
        <w:rPr>
          <w:sz w:val="20"/>
          <w:szCs w:val="20"/>
          <w:color w:val="auto"/>
        </w:rPr>
        <w:tab/>
      </w:r>
      <w:r>
        <w:rPr>
          <w:rFonts w:ascii="Times New Roman" w:cs="Times New Roman" w:eastAsia="Times New Roman" w:hAnsi="Times New Roman"/>
          <w:sz w:val="19"/>
          <w:szCs w:val="19"/>
          <w:i w:val="1"/>
          <w:iCs w:val="1"/>
          <w:color w:val="auto"/>
        </w:rPr>
        <w:t>Replacement of Trustee.</w:t>
      </w:r>
    </w:p>
    <w:p>
      <w:pPr>
        <w:spacing w:after="0" w:line="194" w:lineRule="exact"/>
        <w:rPr>
          <w:sz w:val="20"/>
          <w:szCs w:val="20"/>
          <w:color w:val="auto"/>
        </w:rPr>
      </w:pPr>
    </w:p>
    <w:p>
      <w:pPr>
        <w:ind w:firstLine="1278"/>
        <w:spacing w:after="0" w:line="270" w:lineRule="auto"/>
        <w:tabs>
          <w:tab w:leader="none" w:pos="177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resignation or removal of the Trustee and appointment of a successor Trustee will become effective only upon the successor Trustee’s acceptance of appointment as provided in this Section 7.08.</w:t>
      </w:r>
    </w:p>
    <w:p>
      <w:pPr>
        <w:spacing w:after="0" w:line="117"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19"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at least 30 days prior to the requested date of removal. The Issuer may remove the Trustee if:</w:t>
      </w:r>
    </w:p>
    <w:p>
      <w:pPr>
        <w:spacing w:after="0" w:line="149"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fails to comply with Section 7.10;</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is adjudged a bankrupt or an insolvent or an order for relief is entered with respect to the Trustee under</w:t>
      </w:r>
    </w:p>
    <w:p>
      <w:pPr>
        <w:spacing w:after="0" w:line="1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Bankruptcy Law;</w:t>
      </w:r>
    </w:p>
    <w:p>
      <w:pPr>
        <w:spacing w:after="0" w:line="157"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custodian or public officer takes charge of the Trustee or its property; or</w:t>
      </w:r>
    </w:p>
    <w:p>
      <w:pPr>
        <w:spacing w:after="0" w:line="192"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becomes incapable of acting.</w:t>
      </w:r>
    </w:p>
    <w:p>
      <w:pPr>
        <w:spacing w:after="0" w:line="192"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07"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36"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7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successor Trustee does not take office within 60 days after the retiring Trustee resigns or is removed, the retiring Trustee (at the Issuer’s expense), the Issuer, or the Holders of at least 10% in aggregate principal amount of the then outstanding Notes may petition any court of competent jurisdiction for the appointment of a successor Trustee.</w:t>
      </w:r>
    </w:p>
    <w:p>
      <w:pPr>
        <w:spacing w:after="0" w:line="14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49"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9" w:lineRule="exact"/>
        <w:rPr>
          <w:rFonts w:ascii="Times New Roman" w:cs="Times New Roman" w:eastAsia="Times New Roman" w:hAnsi="Times New Roman"/>
          <w:sz w:val="19"/>
          <w:szCs w:val="19"/>
          <w:color w:val="auto"/>
        </w:rPr>
      </w:pPr>
    </w:p>
    <w:p>
      <w:pPr>
        <w:jc w:val="both"/>
        <w:ind w:firstLine="1278"/>
        <w:spacing w:after="0" w:line="242" w:lineRule="auto"/>
        <w:tabs>
          <w:tab w:leader="none" w:pos="181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all sums owing to the Trustee hereunder have been paid and subject to the Lien provided for in Section 7.07. Notwithstanding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replacement of the Trustee pursuant to this Section 7.08, the Issuer’s obligations under Section 7.07 will continue for the benefit of the retiring Trustee.</w:t>
      </w:r>
    </w:p>
    <w:p>
      <w:pPr>
        <w:spacing w:after="0" w:line="11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7.09</w:t>
      </w:r>
      <w:r>
        <w:rPr>
          <w:sz w:val="20"/>
          <w:szCs w:val="20"/>
          <w:color w:val="auto"/>
        </w:rPr>
        <w:tab/>
      </w:r>
      <w:r>
        <w:rPr>
          <w:rFonts w:ascii="Times New Roman" w:cs="Times New Roman" w:eastAsia="Times New Roman" w:hAnsi="Times New Roman"/>
          <w:sz w:val="19"/>
          <w:szCs w:val="19"/>
          <w:i w:val="1"/>
          <w:iCs w:val="1"/>
          <w:color w:val="auto"/>
        </w:rPr>
        <w:t>Successor Trustee by Merger, etc.</w:t>
      </w:r>
    </w:p>
    <w:p>
      <w:pPr>
        <w:spacing w:after="0" w:line="19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7.10</w:t>
      </w:r>
      <w:r>
        <w:rPr>
          <w:sz w:val="20"/>
          <w:szCs w:val="20"/>
          <w:color w:val="auto"/>
        </w:rPr>
        <w:tab/>
      </w:r>
      <w:r>
        <w:rPr>
          <w:rFonts w:ascii="Times New Roman" w:cs="Times New Roman" w:eastAsia="Times New Roman" w:hAnsi="Times New Roman"/>
          <w:sz w:val="19"/>
          <w:szCs w:val="19"/>
          <w:i w:val="1"/>
          <w:iCs w:val="1"/>
          <w:color w:val="auto"/>
        </w:rPr>
        <w:t>Eligibility; Disqualification.</w:t>
      </w:r>
    </w:p>
    <w:p>
      <w:pPr>
        <w:spacing w:after="0" w:line="18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8</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LEGAL DEFEASANCE AND COVENANT DEFEASANCE</w:t>
      </w:r>
    </w:p>
    <w:p>
      <w:pPr>
        <w:spacing w:after="0" w:line="16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8.01</w:t>
      </w:r>
      <w:r>
        <w:rPr>
          <w:sz w:val="20"/>
          <w:szCs w:val="20"/>
          <w:color w:val="auto"/>
        </w:rPr>
        <w:tab/>
      </w:r>
      <w:r>
        <w:rPr>
          <w:rFonts w:ascii="Times New Roman" w:cs="Times New Roman" w:eastAsia="Times New Roman" w:hAnsi="Times New Roman"/>
          <w:sz w:val="19"/>
          <w:szCs w:val="19"/>
          <w:i w:val="1"/>
          <w:iCs w:val="1"/>
          <w:color w:val="auto"/>
        </w:rPr>
        <w:t>Option to Effect Legal Defeasance or Covenant Defeasance.</w:t>
      </w:r>
    </w:p>
    <w:p>
      <w:pPr>
        <w:spacing w:after="0" w:line="18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Issuer may at any time, at its option as set forth in an Officers’ Certificate, elect to have either Section 8.02 or 8.03 be applied to all outstanding Notes upon compliance with the conditions set forth below in this Article 8.</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8.02</w:t>
      </w:r>
      <w:r>
        <w:rPr>
          <w:sz w:val="20"/>
          <w:szCs w:val="20"/>
          <w:color w:val="auto"/>
        </w:rPr>
        <w:tab/>
      </w:r>
      <w:r>
        <w:rPr>
          <w:rFonts w:ascii="Times New Roman" w:cs="Times New Roman" w:eastAsia="Times New Roman" w:hAnsi="Times New Roman"/>
          <w:sz w:val="19"/>
          <w:szCs w:val="19"/>
          <w:i w:val="1"/>
          <w:iCs w:val="1"/>
          <w:color w:val="auto"/>
        </w:rPr>
        <w:t>Legal Defeasance and Discharge.</w:t>
      </w:r>
    </w:p>
    <w:p>
      <w:pPr>
        <w:spacing w:after="0" w:line="19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Upon the Issuer’s exercise under Section 8.01 of the option applicable to this Section 8.02, the Issuer and each of the Guarantors will, subject to the satisfaction of the conditions set forth in Section 8.04, be deemed to have been discharged from their obligations with respect to all outstanding Notes (including the Guarantees) on the date the conditions set forth below are satisfied (hereinafter, “</w:t>
      </w:r>
      <w:r>
        <w:rPr>
          <w:rFonts w:ascii="Times New Roman" w:cs="Times New Roman" w:eastAsia="Times New Roman" w:hAnsi="Times New Roman"/>
          <w:sz w:val="19"/>
          <w:szCs w:val="19"/>
          <w:i w:val="1"/>
          <w:iCs w:val="1"/>
          <w:color w:val="auto"/>
        </w:rPr>
        <w:t>Legal Defeasance</w:t>
      </w:r>
      <w:r>
        <w:rPr>
          <w:rFonts w:ascii="Times New Roman" w:cs="Times New Roman" w:eastAsia="Times New Roman" w:hAnsi="Times New Roman"/>
          <w:sz w:val="19"/>
          <w:szCs w:val="19"/>
          <w:color w:val="auto"/>
        </w:rPr>
        <w:t>”).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Section 8.05 and the other Sections of this Indenture referred to in clauses (a) and (b) below, and to have satisfied all their other obligations under such Notes, the Guarantees and this Indenture (and the Trustee, on demand of and at the expense of the Issuer, shall execute proper instruments acknowledging the same), except for the following provisions which will survive until otherwise terminated or discharged hereunder:</w:t>
      </w:r>
    </w:p>
    <w:p>
      <w:pPr>
        <w:spacing w:after="0" w:line="346" w:lineRule="exact"/>
        <w:rPr>
          <w:sz w:val="20"/>
          <w:szCs w:val="20"/>
          <w:color w:val="auto"/>
        </w:rPr>
      </w:pPr>
    </w:p>
    <w:p>
      <w:pPr>
        <w:ind w:right="20" w:firstLine="1278"/>
        <w:spacing w:after="0" w:line="270" w:lineRule="auto"/>
        <w:tabs>
          <w:tab w:leader="none" w:pos="1781"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Holders of outstanding Notes to receive payments in respect of the principal of, premium on, if any, or interest on, such Notes when such payments are due from the trust referred to in Section 8.04;</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Issuer’s obligations with respect to such Notes under Article 2 and Section 4.02;</w:t>
      </w:r>
    </w:p>
    <w:p>
      <w:pPr>
        <w:spacing w:after="0" w:line="192" w:lineRule="exact"/>
        <w:rPr>
          <w:rFonts w:ascii="Times New Roman" w:cs="Times New Roman" w:eastAsia="Times New Roman" w:hAnsi="Times New Roman"/>
          <w:sz w:val="19"/>
          <w:szCs w:val="19"/>
          <w:color w:val="auto"/>
        </w:rPr>
      </w:pPr>
    </w:p>
    <w:p>
      <w:pPr>
        <w:ind w:firstLine="1278"/>
        <w:spacing w:after="0" w:line="270" w:lineRule="auto"/>
        <w:tabs>
          <w:tab w:leader="none" w:pos="170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powers, trusts, duties and immunities of the Trustee hereunder and the Issuer’s and the Guarantors’ obligations in connection therewith; and</w:t>
      </w:r>
    </w:p>
    <w:p>
      <w:pPr>
        <w:spacing w:after="0" w:line="117"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Article 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8"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Subject to compliance with this Article 8, the Issuer may exercise its option under this Section 8.02 notwithstanding the prior exercise of its option under Section 8.03.</w:t>
      </w:r>
    </w:p>
    <w:p>
      <w:pPr>
        <w:spacing w:after="0" w:line="11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8.03</w:t>
      </w:r>
      <w:r>
        <w:rPr>
          <w:sz w:val="20"/>
          <w:szCs w:val="20"/>
          <w:color w:val="auto"/>
        </w:rPr>
        <w:tab/>
      </w:r>
      <w:r>
        <w:rPr>
          <w:rFonts w:ascii="Times New Roman" w:cs="Times New Roman" w:eastAsia="Times New Roman" w:hAnsi="Times New Roman"/>
          <w:sz w:val="19"/>
          <w:szCs w:val="19"/>
          <w:i w:val="1"/>
          <w:iCs w:val="1"/>
          <w:color w:val="auto"/>
        </w:rPr>
        <w:t>Covenant Defeasance.</w:t>
      </w:r>
    </w:p>
    <w:p>
      <w:pPr>
        <w:spacing w:after="0" w:line="194"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19"/>
          <w:szCs w:val="19"/>
          <w:color w:val="auto"/>
        </w:rPr>
        <w:t>Upon the Issuer’s exercise under Section 8.01 of the option applicable to this Section 8.03, the Issuer and each of the Guarantors will, subject to the satisfaction of the conditions set forth in Section 8.04, be released from each of their respective obligations under the covenants contained in Sections 3.09, 4.03, 4.04 4.05, 4.07, 4.08, 4.09, 4.10, 4.11, 4.12, 4.13, 4.14, 4.15, 4.16 and 4.17 and clause (4) of Section 5.01(a) with respect to all the outstanding Notes on and after the date the conditions set forth in Section 8.04 are satisfied (hereinafter, “</w:t>
      </w:r>
      <w:r>
        <w:rPr>
          <w:rFonts w:ascii="Times New Roman" w:cs="Times New Roman" w:eastAsia="Times New Roman" w:hAnsi="Times New Roman"/>
          <w:sz w:val="19"/>
          <w:szCs w:val="19"/>
          <w:i w:val="1"/>
          <w:iCs w:val="1"/>
          <w:color w:val="auto"/>
        </w:rPr>
        <w:t>Covenant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Defeasance</w:t>
      </w:r>
      <w:r>
        <w:rPr>
          <w:rFonts w:ascii="Times New Roman" w:cs="Times New Roman" w:eastAsia="Times New Roman" w:hAnsi="Times New Roman"/>
          <w:sz w:val="19"/>
          <w:szCs w:val="19"/>
          <w:color w:val="auto"/>
        </w:rPr>
        <w:t>”), and the Notes will thereafter be deemed not “outstanding” for the purposes of any direction, waiver, consent or declaration or act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Holders (and the consequences of any thereof) in connection with such covenants, but will continue to be deemed “outstanding” for all other purposes hereunder (it being understood that such Notes will not be deemed outstanding for accounting purposes to the extent permitted by GAAP). For this purpose, Covenant Defeasance means that, with respect to the outstanding Notes and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Guarantees will be unaffected thereby. In addition, upon the Issuer’s exercise under Section 8.01 of the option applicable to this Section 8.03, subject to the satisfaction of the conditions set forth in Section 8.04, Sections 6.01(c), (d), (f), (g), (h) and (k) will not constitute Events of Default.</w:t>
      </w:r>
    </w:p>
    <w:p>
      <w:pPr>
        <w:spacing w:after="0" w:line="15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8.04</w:t>
      </w:r>
      <w:r>
        <w:rPr>
          <w:sz w:val="20"/>
          <w:szCs w:val="20"/>
          <w:color w:val="auto"/>
        </w:rPr>
        <w:tab/>
      </w:r>
      <w:r>
        <w:rPr>
          <w:rFonts w:ascii="Times New Roman" w:cs="Times New Roman" w:eastAsia="Times New Roman" w:hAnsi="Times New Roman"/>
          <w:sz w:val="19"/>
          <w:szCs w:val="19"/>
          <w:i w:val="1"/>
          <w:iCs w:val="1"/>
          <w:color w:val="auto"/>
        </w:rPr>
        <w:t>Conditions to Legal or Covenant Defeasance.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order to exercise either Legal Defeasance or Covenant Defeasance under either Section 8.02 or 8.03:</w:t>
      </w:r>
    </w:p>
    <w:p>
      <w:pPr>
        <w:spacing w:after="0" w:line="192" w:lineRule="exact"/>
        <w:rPr>
          <w:sz w:val="20"/>
          <w:szCs w:val="20"/>
          <w:color w:val="auto"/>
        </w:rPr>
      </w:pPr>
    </w:p>
    <w:p>
      <w:pPr>
        <w:jc w:val="both"/>
        <w:ind w:firstLine="1278"/>
        <w:spacing w:after="0" w:line="235" w:lineRule="auto"/>
        <w:tabs>
          <w:tab w:leader="none" w:pos="1759"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Issuer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redemption is made as provided in Section 3.07(b)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on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9"/>
          <w:szCs w:val="19"/>
          <w:i w:val="1"/>
          <w:iCs w:val="1"/>
          <w:color w:val="auto"/>
        </w:rPr>
        <w:t>Applicable Premium Deficit</w:t>
      </w:r>
      <w:r>
        <w:rPr>
          <w:rFonts w:ascii="Times New Roman" w:cs="Times New Roman" w:eastAsia="Times New Roman" w:hAnsi="Times New Roman"/>
          <w:sz w:val="19"/>
          <w:szCs w:val="19"/>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Trustee shall have no liability whatsoever in the event that such Applicable Premium Deficit is not in fact paid after any Legal Defeasance or Covenant Defeasance and that any Applicable Premium Deficit will be set forth in an Officers’ Certificate delivered to the Trustee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simultaneously with the deposit of such Applicable Premium Deficit that confirms that such Applicable Premium Deficit will be applied toward such redemption;</w:t>
      </w:r>
    </w:p>
    <w:p>
      <w:pPr>
        <w:spacing w:after="0" w:line="118" w:lineRule="exact"/>
        <w:rPr>
          <w:sz w:val="20"/>
          <w:szCs w:val="20"/>
          <w:color w:val="auto"/>
        </w:rPr>
      </w:pPr>
    </w:p>
    <w:p>
      <w:pPr>
        <w:ind w:right="20" w:firstLine="1278"/>
        <w:spacing w:after="0" w:line="270" w:lineRule="auto"/>
        <w:tabs>
          <w:tab w:leader="none" w:pos="1763"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8.02, the Issuer must deliver to the Trustee an Opinion of Counsel reasonably acceptable to the Trustee confirming that:</w:t>
      </w:r>
    </w:p>
    <w:p>
      <w:pPr>
        <w:spacing w:after="0" w:line="131" w:lineRule="exact"/>
        <w:rPr>
          <w:rFonts w:ascii="Times New Roman" w:cs="Times New Roman" w:eastAsia="Times New Roman" w:hAnsi="Times New Roman"/>
          <w:sz w:val="19"/>
          <w:szCs w:val="19"/>
          <w:color w:val="auto"/>
        </w:rPr>
      </w:pPr>
    </w:p>
    <w:p>
      <w:pPr>
        <w:ind w:left="2340" w:hanging="426"/>
        <w:spacing w:after="0"/>
        <w:tabs>
          <w:tab w:leader="none" w:pos="2340"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received from, or there has been published by, the Internal Revenue Service a ruling; or</w:t>
      </w:r>
    </w:p>
    <w:p>
      <w:pPr>
        <w:spacing w:after="0" w:line="192"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60"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1"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55"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8.03, the Issuer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4"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13"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stating that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all or a portion of which are to be applied to such deposit);</w:t>
      </w:r>
    </w:p>
    <w:p>
      <w:pPr>
        <w:spacing w:after="0" w:line="154" w:lineRule="exact"/>
        <w:rPr>
          <w:rFonts w:ascii="Times New Roman" w:cs="Times New Roman" w:eastAsia="Times New Roman" w:hAnsi="Times New Roman"/>
          <w:sz w:val="19"/>
          <w:szCs w:val="19"/>
          <w:color w:val="auto"/>
        </w:rPr>
      </w:pPr>
    </w:p>
    <w:p>
      <w:pPr>
        <w:jc w:val="both"/>
        <w:ind w:firstLine="1278"/>
        <w:spacing w:after="0" w:line="245" w:lineRule="auto"/>
        <w:tabs>
          <w:tab w:leader="none" w:pos="1707"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stating that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Guarantor is a party or by which the Issuer or any Guarantor is bound;</w:t>
      </w:r>
    </w:p>
    <w:p>
      <w:pPr>
        <w:spacing w:after="0" w:line="141"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9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stating that the deposit was not made by the Issuer with the intent of preferring the Holders of the Notes over the other creditors of the Issuer with the intent of defeating, hindering, delaying or defrauding any creditors of the Issuer or others; and</w:t>
      </w:r>
    </w:p>
    <w:p>
      <w:pPr>
        <w:spacing w:after="0" w:line="149" w:lineRule="exact"/>
        <w:rPr>
          <w:rFonts w:ascii="Times New Roman" w:cs="Times New Roman" w:eastAsia="Times New Roman" w:hAnsi="Times New Roman"/>
          <w:sz w:val="19"/>
          <w:szCs w:val="19"/>
          <w:color w:val="auto"/>
        </w:rPr>
      </w:pPr>
    </w:p>
    <w:p>
      <w:pPr>
        <w:ind w:right="20" w:firstLine="1278"/>
        <w:spacing w:after="0" w:line="270" w:lineRule="auto"/>
        <w:tabs>
          <w:tab w:leader="none" w:pos="1729"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and an Opinion of Counsel, each stating that all conditions precedent relating to the Legal Defeasance or the Covenant Defeasance, as the case may be, have been complied with.</w:t>
      </w:r>
    </w:p>
    <w:p>
      <w:pPr>
        <w:spacing w:after="0" w:line="12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8.05</w:t>
      </w:r>
      <w:r>
        <w:rPr>
          <w:sz w:val="20"/>
          <w:szCs w:val="20"/>
          <w:color w:val="auto"/>
        </w:rPr>
        <w:tab/>
      </w:r>
      <w:r>
        <w:rPr>
          <w:rFonts w:ascii="Times New Roman" w:cs="Times New Roman" w:eastAsia="Times New Roman" w:hAnsi="Times New Roman"/>
          <w:sz w:val="19"/>
          <w:szCs w:val="19"/>
          <w:i w:val="1"/>
          <w:iCs w:val="1"/>
          <w:color w:val="auto"/>
        </w:rPr>
        <w:t>Deposited Money and Government Securities to be Held in Trust; Other Miscellaneous Provisions.</w:t>
      </w:r>
    </w:p>
    <w:p>
      <w:pPr>
        <w:spacing w:after="0" w:line="18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Subject to Section 8.06,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 pursuant to Section 8.04 in respect of the outstanding Notes will be held in trust and applied by the Trustee, in accordance with the provisions of such Notes and this Indenture, to the payment, either directly or through any Paying Agent (including the Issuer acting as Paying Agent) as the Trustee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may determine, to the Holders of such Notes of all sums due and to become due thereon in respect of principal, premium, if any, and interest, but such money need not be segregated from other funds except to the extent required by law.</w:t>
      </w:r>
    </w:p>
    <w:p>
      <w:pPr>
        <w:spacing w:after="0" w:line="11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Issuer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149"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Notwithstanding anything in this Article 8 to the contrary, the Trustee will deliver or pay to the Issuer from time to time upon the request of the Issuer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8.06</w:t>
      </w:r>
      <w:r>
        <w:rPr>
          <w:sz w:val="20"/>
          <w:szCs w:val="20"/>
          <w:color w:val="auto"/>
        </w:rPr>
        <w:tab/>
      </w:r>
      <w:r>
        <w:rPr>
          <w:rFonts w:ascii="Times New Roman" w:cs="Times New Roman" w:eastAsia="Times New Roman" w:hAnsi="Times New Roman"/>
          <w:sz w:val="19"/>
          <w:szCs w:val="19"/>
          <w:i w:val="1"/>
          <w:iCs w:val="1"/>
          <w:color w:val="auto"/>
        </w:rPr>
        <w:t>Repayment to Issuer.</w:t>
      </w:r>
    </w:p>
    <w:p>
      <w:pPr>
        <w:spacing w:after="0" w:line="181"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Subject to applicable law, any money deposited with the Trustee or any Paying Agent, or then held by the Issuer, in trust for the payment of the principal of, premium on, if any, or interest on, any Note and remaining unclaimed for two years after such principal, premium, if any, and interest,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8.07</w:t>
      </w:r>
      <w:r>
        <w:rPr>
          <w:sz w:val="20"/>
          <w:szCs w:val="20"/>
          <w:color w:val="auto"/>
        </w:rPr>
        <w:tab/>
      </w:r>
      <w:r>
        <w:rPr>
          <w:rFonts w:ascii="Times New Roman" w:cs="Times New Roman" w:eastAsia="Times New Roman" w:hAnsi="Times New Roman"/>
          <w:sz w:val="19"/>
          <w:szCs w:val="19"/>
          <w:i w:val="1"/>
          <w:iCs w:val="1"/>
          <w:color w:val="auto"/>
        </w:rPr>
        <w:t>Reinstatement.</w:t>
      </w:r>
    </w:p>
    <w:p>
      <w:pPr>
        <w:spacing w:after="0" w:line="194"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Section 8.02 or 8.03 until such time as the Trustee or Paying Agent is permitted to apply all such money or Government Securities in accordance with Section 8.02 or 8.03, as the case may be;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Issuer makes any payment of principal of, premium on, if any, or interest on, any Note following the reinstatement of its obligations, the Issuer will be subrogated to the rights of the Holders of such Notes to receive such payment from the money or Government Securities held by the Trustee or Paying Agent.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9</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AMENDMENT, SUPPLEMENT AND WAIVER</w:t>
      </w:r>
    </w:p>
    <w:p>
      <w:pPr>
        <w:spacing w:after="0" w:line="16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9.01</w:t>
      </w:r>
      <w:r>
        <w:rPr>
          <w:sz w:val="20"/>
          <w:szCs w:val="20"/>
          <w:color w:val="auto"/>
        </w:rPr>
        <w:tab/>
      </w:r>
      <w:r>
        <w:rPr>
          <w:rFonts w:ascii="Times New Roman" w:cs="Times New Roman" w:eastAsia="Times New Roman" w:hAnsi="Times New Roman"/>
          <w:sz w:val="19"/>
          <w:szCs w:val="19"/>
          <w:i w:val="1"/>
          <w:iCs w:val="1"/>
          <w:color w:val="auto"/>
        </w:rPr>
        <w:t>Without Consent of Holders of Notes.</w:t>
      </w:r>
    </w:p>
    <w:p>
      <w:pPr>
        <w:spacing w:after="0" w:line="19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Notwithstanding Section 9.02 of this Indenture, without the consent of any Holder of Notes, the Issuer, the Guarantors and the Trustee may amend or supplement this Indenture, the Notes or the Guarantees:</w:t>
      </w:r>
    </w:p>
    <w:p>
      <w:pPr>
        <w:spacing w:after="0" w:line="118" w:lineRule="exact"/>
        <w:rPr>
          <w:sz w:val="20"/>
          <w:szCs w:val="20"/>
          <w:color w:val="auto"/>
        </w:rPr>
      </w:pPr>
    </w:p>
    <w:p>
      <w:pPr>
        <w:ind w:left="1680" w:hanging="402"/>
        <w:spacing w:after="0"/>
        <w:tabs>
          <w:tab w:leader="none" w:pos="16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cure any ambiguity, defect or inconsistency;</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uncertificated Notes in addition to or in place of certificated Notes;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8" w:lineRule="exact"/>
        <w:rPr>
          <w:sz w:val="20"/>
          <w:szCs w:val="20"/>
          <w:color w:val="auto"/>
        </w:rPr>
      </w:pPr>
    </w:p>
    <w:p>
      <w:pPr>
        <w:ind w:firstLine="1278"/>
        <w:spacing w:after="0" w:line="270" w:lineRule="auto"/>
        <w:tabs>
          <w:tab w:leader="none" w:pos="173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assumption of the Issuer’s or a Guarantor’s obligations to Holders of the Notes and Guarantees in the case of a merger or consolidation or sale of all or substantially all of the Issuer’s or such Guarantor’s properties or assets, as applicable;</w:t>
      </w:r>
    </w:p>
    <w:p>
      <w:pPr>
        <w:spacing w:after="0" w:line="117" w:lineRule="exact"/>
        <w:rPr>
          <w:rFonts w:ascii="Times New Roman" w:cs="Times New Roman" w:eastAsia="Times New Roman" w:hAnsi="Times New Roman"/>
          <w:sz w:val="19"/>
          <w:szCs w:val="19"/>
          <w:color w:val="auto"/>
        </w:rPr>
      </w:pPr>
    </w:p>
    <w:p>
      <w:pPr>
        <w:ind w:firstLine="1278"/>
        <w:spacing w:after="0" w:line="270" w:lineRule="auto"/>
        <w:tabs>
          <w:tab w:leader="none" w:pos="178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any change that would provide any additional rights or benefits to the Holders of the Notes or that does not adversely affect the legal rights under this Indenture of any Holder;</w:t>
      </w:r>
    </w:p>
    <w:p>
      <w:pPr>
        <w:spacing w:after="0" w:line="131"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comply with requirements of the SEC in order to effect or maintain the qualification of this Indenture under the TIA;</w:t>
      </w:r>
    </w:p>
    <w:p>
      <w:pPr>
        <w:spacing w:after="0" w:line="192" w:lineRule="exact"/>
        <w:rPr>
          <w:rFonts w:ascii="Times New Roman" w:cs="Times New Roman" w:eastAsia="Times New Roman" w:hAnsi="Times New Roman"/>
          <w:sz w:val="19"/>
          <w:szCs w:val="19"/>
          <w:color w:val="auto"/>
        </w:rPr>
      </w:pPr>
    </w:p>
    <w:p>
      <w:pPr>
        <w:ind w:right="20" w:firstLine="1278"/>
        <w:spacing w:after="0" w:line="270" w:lineRule="auto"/>
        <w:tabs>
          <w:tab w:leader="none" w:pos="1667"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conform the text of this Indenture, the Notes or the Guarantees to any provision of the “Description of Notes” section of the Offering Memorandum as specified by an Officers’ Certificate;</w:t>
      </w:r>
    </w:p>
    <w:p>
      <w:pPr>
        <w:spacing w:after="0" w:line="117" w:lineRule="exact"/>
        <w:rPr>
          <w:rFonts w:ascii="Times New Roman" w:cs="Times New Roman" w:eastAsia="Times New Roman" w:hAnsi="Times New Roman"/>
          <w:sz w:val="19"/>
          <w:szCs w:val="19"/>
          <w:color w:val="auto"/>
        </w:rPr>
      </w:pPr>
    </w:p>
    <w:p>
      <w:pPr>
        <w:ind w:left="1720" w:hanging="442"/>
        <w:spacing w:after="0"/>
        <w:tabs>
          <w:tab w:leader="none" w:pos="172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issuance of Additional Notes in accordance with the limitations set forth in this Indenture as of the date</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hereof;</w:t>
      </w:r>
    </w:p>
    <w:p>
      <w:pPr>
        <w:spacing w:after="0" w:line="170"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secure the Notes or the Guarantees pursuant to the requirements of Section 4.12 or otherwise;</w:t>
      </w:r>
    </w:p>
    <w:p>
      <w:pPr>
        <w:spacing w:after="0" w:line="192" w:lineRule="exact"/>
        <w:rPr>
          <w:rFonts w:ascii="Times New Roman" w:cs="Times New Roman" w:eastAsia="Times New Roman" w:hAnsi="Times New Roman"/>
          <w:sz w:val="19"/>
          <w:szCs w:val="19"/>
          <w:color w:val="auto"/>
        </w:rPr>
      </w:pPr>
    </w:p>
    <w:p>
      <w:pPr>
        <w:ind w:firstLine="1278"/>
        <w:spacing w:after="0" w:line="270" w:lineRule="auto"/>
        <w:tabs>
          <w:tab w:leader="none" w:pos="1656"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evidence the release of any Guarantor from its Guarantee, as provided in this Indenture, add any additional Guarantor or guarantee of the Notes;</w:t>
      </w:r>
    </w:p>
    <w:p>
      <w:pPr>
        <w:spacing w:after="0" w:line="117"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evidence or provide for the acceptance of appointment under this Indenture of a successor Trustee; or</w:t>
      </w:r>
    </w:p>
    <w:p>
      <w:pPr>
        <w:spacing w:after="0" w:line="192"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reorganization of the Issuer as any other form of entity in accordance with Section 5.01(c).</w:t>
      </w:r>
    </w:p>
    <w:p>
      <w:pPr>
        <w:spacing w:after="0" w:line="192" w:lineRule="exact"/>
        <w:rPr>
          <w:sz w:val="20"/>
          <w:szCs w:val="20"/>
          <w:color w:val="auto"/>
        </w:rPr>
      </w:pPr>
    </w:p>
    <w:p>
      <w:pPr>
        <w:jc w:val="both"/>
        <w:ind w:firstLine="1272"/>
        <w:spacing w:after="0" w:line="255" w:lineRule="auto"/>
        <w:rPr>
          <w:sz w:val="20"/>
          <w:szCs w:val="20"/>
          <w:color w:val="auto"/>
        </w:rPr>
      </w:pPr>
      <w:r>
        <w:rPr>
          <w:rFonts w:ascii="Times New Roman" w:cs="Times New Roman" w:eastAsia="Times New Roman" w:hAnsi="Times New Roman"/>
          <w:sz w:val="19"/>
          <w:szCs w:val="19"/>
          <w:color w:val="auto"/>
        </w:rPr>
        <w:t>Any supplemental indenture authorized by the provisions of this Section 9.01 may be executed by the Issuer, the Guarantors and the Trustee without the consent of the Holders of any of the Notes at the time outstanding, notwithstanding any of the provisions of Section 9.02.</w:t>
      </w:r>
    </w:p>
    <w:p>
      <w:pPr>
        <w:spacing w:after="0" w:line="3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9.02</w:t>
      </w:r>
      <w:r>
        <w:rPr>
          <w:sz w:val="20"/>
          <w:szCs w:val="20"/>
          <w:color w:val="auto"/>
        </w:rPr>
        <w:tab/>
      </w:r>
      <w:r>
        <w:rPr>
          <w:rFonts w:ascii="Times New Roman" w:cs="Times New Roman" w:eastAsia="Times New Roman" w:hAnsi="Times New Roman"/>
          <w:sz w:val="19"/>
          <w:szCs w:val="19"/>
          <w:i w:val="1"/>
          <w:iCs w:val="1"/>
          <w:color w:val="auto"/>
        </w:rPr>
        <w:t>With Consent of Holders of Notes.</w:t>
      </w:r>
    </w:p>
    <w:p>
      <w:pPr>
        <w:spacing w:after="0" w:line="194"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Except as provided below in this Section 9.02, the Issuer, the Guarantors and the Trustee may amend or supplement this Indenture (including, without limitation, Sections 3.09, 4.10 and 4.15) and the Notes and the Guarantees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 6.07, any existing Default or Event of Default or compliance with any provision of this Indenture or the Notes or the Guarantees may be waived, in each case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 However, without the consent of each Holder affected, an amendment, supplement or waiver may not (with respect to any Notes held by a non-consenting Holder):</w:t>
      </w:r>
    </w:p>
    <w:p>
      <w:pPr>
        <w:spacing w:after="0" w:line="161" w:lineRule="exact"/>
        <w:rPr>
          <w:sz w:val="20"/>
          <w:szCs w:val="20"/>
          <w:color w:val="auto"/>
        </w:rPr>
      </w:pPr>
    </w:p>
    <w:p>
      <w:pPr>
        <w:ind w:left="1680" w:hanging="402"/>
        <w:spacing w:after="0"/>
        <w:tabs>
          <w:tab w:leader="none" w:pos="16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amount of Notes whose Holders must consent to an amendment, supplement or waiver;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69"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8" w:lineRule="exact"/>
        <w:rPr>
          <w:sz w:val="20"/>
          <w:szCs w:val="20"/>
          <w:color w:val="auto"/>
        </w:rPr>
      </w:pPr>
    </w:p>
    <w:p>
      <w:pPr>
        <w:jc w:val="both"/>
        <w:ind w:firstLine="1278"/>
        <w:spacing w:after="0" w:line="251" w:lineRule="auto"/>
        <w:tabs>
          <w:tab w:leader="none" w:pos="1704"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of or change the fixed maturity of any Note or alter or waive any of the provisions with respect to the redemption of the Notes (other than provisions relating to minimum notice periods required with respect to redemptions of Notes and provisions under Section 3.03, 3.09, 4.10 or 4.15);</w:t>
      </w:r>
    </w:p>
    <w:p>
      <w:pPr>
        <w:spacing w:after="0" w:line="136"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rate of or change the time for payment of interest, including default interest on any Note;</w:t>
      </w:r>
    </w:p>
    <w:p>
      <w:pPr>
        <w:spacing w:after="0" w:line="192"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95"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a Default or Event of Default in the payment of principal of, premium on, if any, or interest on, the Notes (except (i) a payment required by Section 3.09, 4.10 or 4.15 or (ii) a rescission of acceleration of the Notes by the Holders of a majority in aggregate principal amount of the then outstanding Notes and a waiver of the payment default that resulted from such acceleration);</w:t>
      </w:r>
    </w:p>
    <w:p>
      <w:pPr>
        <w:spacing w:after="0" w:line="149"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Note payable in money other than that stated in the Notes;</w:t>
      </w:r>
    </w:p>
    <w:p>
      <w:pPr>
        <w:spacing w:after="0" w:line="179" w:lineRule="exact"/>
        <w:rPr>
          <w:rFonts w:ascii="Times New Roman" w:cs="Times New Roman" w:eastAsia="Times New Roman" w:hAnsi="Times New Roman"/>
          <w:sz w:val="19"/>
          <w:szCs w:val="19"/>
          <w:color w:val="auto"/>
        </w:rPr>
      </w:pPr>
    </w:p>
    <w:p>
      <w:pPr>
        <w:jc w:val="both"/>
        <w:ind w:firstLine="1278"/>
        <w:spacing w:after="0" w:line="255" w:lineRule="auto"/>
        <w:tabs>
          <w:tab w:leader="none" w:pos="1728"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 the provisions of this Indenture relating to waivers of past Defaults or the rights of Holders of the Notes to receive payments of principal of, premium on, if any, or interest on, the Notes (other than a payment required by Section 3.09, 4.10 or 4.15);</w:t>
      </w:r>
    </w:p>
    <w:p>
      <w:pPr>
        <w:spacing w:after="0" w:line="370" w:lineRule="exact"/>
        <w:rPr>
          <w:rFonts w:ascii="Times New Roman" w:cs="Times New Roman" w:eastAsia="Times New Roman" w:hAnsi="Times New Roman"/>
          <w:sz w:val="19"/>
          <w:szCs w:val="19"/>
          <w:color w:val="auto"/>
        </w:rPr>
      </w:pPr>
    </w:p>
    <w:p>
      <w:pPr>
        <w:ind w:firstLine="1278"/>
        <w:spacing w:after="0" w:line="270" w:lineRule="auto"/>
        <w:tabs>
          <w:tab w:leader="none" w:pos="1753"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a redemption or repurchase payment with respect to any Note (for the avoidance of doubt, other than a payment required by Section 3.09, 4.10 or 4.15);</w:t>
      </w:r>
    </w:p>
    <w:p>
      <w:pPr>
        <w:spacing w:after="0" w:line="131" w:lineRule="exact"/>
        <w:rPr>
          <w:rFonts w:ascii="Times New Roman" w:cs="Times New Roman" w:eastAsia="Times New Roman" w:hAnsi="Times New Roman"/>
          <w:sz w:val="19"/>
          <w:szCs w:val="19"/>
          <w:color w:val="auto"/>
        </w:rPr>
      </w:pPr>
    </w:p>
    <w:p>
      <w:pPr>
        <w:ind w:firstLine="1278"/>
        <w:spacing w:after="0" w:line="270" w:lineRule="auto"/>
        <w:tabs>
          <w:tab w:leader="none" w:pos="177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any Guarantor from any of its obligations under its Guarantee or this Indenture, except in accordance with the terms of this Indenture; or</w:t>
      </w:r>
    </w:p>
    <w:p>
      <w:pPr>
        <w:spacing w:after="0" w:line="117" w:lineRule="exact"/>
        <w:rPr>
          <w:rFonts w:ascii="Times New Roman" w:cs="Times New Roman" w:eastAsia="Times New Roman" w:hAnsi="Times New Roman"/>
          <w:sz w:val="19"/>
          <w:szCs w:val="19"/>
          <w:color w:val="auto"/>
        </w:rPr>
      </w:pPr>
    </w:p>
    <w:p>
      <w:pPr>
        <w:ind w:left="1660" w:hanging="382"/>
        <w:spacing w:after="0"/>
        <w:tabs>
          <w:tab w:leader="none" w:pos="166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 the preceding amendment, supplement and waiver provisions.</w:t>
      </w:r>
    </w:p>
    <w:p>
      <w:pPr>
        <w:spacing w:after="0" w:line="192"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The consent of the Holders is not necessary under this Section 9.02 to approve the particular form of any proposed amendment, supplement or waiver. It is sufficient if such consent approves the substance of the proposed amendment, supplement or waiver. After an amendment, supplement or waiver under this Indenture requiring the approval of the Holders becomes effective, the Issuer will send to the Holders a notice briefly describing the amendment, supplement or waiver. However, the failure to give such notice, or any defect in the notice, will not impair or affect the validity of the amendment, supplement or waiver.</w:t>
      </w:r>
    </w:p>
    <w:p>
      <w:pPr>
        <w:spacing w:after="0" w:line="15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9.03</w:t>
      </w:r>
      <w:r>
        <w:rPr>
          <w:sz w:val="20"/>
          <w:szCs w:val="20"/>
          <w:color w:val="auto"/>
        </w:rPr>
        <w:tab/>
      </w:r>
      <w:r>
        <w:rPr>
          <w:rFonts w:ascii="Times New Roman" w:cs="Times New Roman" w:eastAsia="Times New Roman" w:hAnsi="Times New Roman"/>
          <w:sz w:val="19"/>
          <w:szCs w:val="19"/>
          <w:i w:val="1"/>
          <w:iCs w:val="1"/>
          <w:color w:val="auto"/>
        </w:rPr>
        <w:t>Revocation and Effect of Consents.</w:t>
      </w:r>
    </w:p>
    <w:p>
      <w:pPr>
        <w:spacing w:after="0" w:line="181"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9"/>
          <w:szCs w:val="19"/>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unless it makes a change described in any of clauses (a) through (i) of the first paragraph of Section 9.02, in which case, the amendment, supplement or waiver shall bind only each Holder of a Note who has consented to such amendment, supplement or waiver and every subsequent Holder of a Note or portion of a Note that evidences the same indebtedness as the consenting Holder’s Note.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9.04</w:t>
      </w:r>
      <w:r>
        <w:rPr>
          <w:sz w:val="20"/>
          <w:szCs w:val="20"/>
          <w:color w:val="auto"/>
        </w:rPr>
        <w:tab/>
      </w:r>
      <w:r>
        <w:rPr>
          <w:rFonts w:ascii="Times New Roman" w:cs="Times New Roman" w:eastAsia="Times New Roman" w:hAnsi="Times New Roman"/>
          <w:sz w:val="19"/>
          <w:szCs w:val="19"/>
          <w:i w:val="1"/>
          <w:iCs w:val="1"/>
          <w:color w:val="auto"/>
        </w:rPr>
        <w:t>Notation on or Exchange of Notes.</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Trustee, at the written direction of the Issuer,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Failure to make the appropriate notation or issue a new Note will not affect the validity and effect of such amendment, supplement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waiver.</w:t>
      </w:r>
    </w:p>
    <w:p>
      <w:pPr>
        <w:spacing w:after="0" w:line="16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9.05</w:t>
      </w:r>
      <w:r>
        <w:rPr>
          <w:sz w:val="20"/>
          <w:szCs w:val="20"/>
          <w:color w:val="auto"/>
        </w:rPr>
        <w:tab/>
      </w:r>
      <w:r>
        <w:rPr>
          <w:rFonts w:ascii="Times New Roman" w:cs="Times New Roman" w:eastAsia="Times New Roman" w:hAnsi="Times New Roman"/>
          <w:sz w:val="19"/>
          <w:szCs w:val="19"/>
          <w:i w:val="1"/>
          <w:iCs w:val="1"/>
          <w:color w:val="auto"/>
        </w:rPr>
        <w:t>Trustee to Sign Amendments, etc.</w:t>
      </w:r>
    </w:p>
    <w:p>
      <w:pPr>
        <w:spacing w:after="0" w:line="181"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The Trustee will sign any amended or supplemental indenture authorized pursuant to this Article 9 if the amendment or supplement does not adversely affect the rights, duties, liabilities or immunities of the Trustee. In executing any amended or supplemental indenture, the Trustee will be entitled to receive and (subject to Section 7.01) will be fully protected in relying upon, in addition to the documents required by Section 12.04, an Officers’ Certificate and an Opinion of Counsel stating that the execution of such amended or supplemental indenture is authorized or permitted by this Indenture and, with respect to the Opinion of Counsel, that such amendment, supplement or waiver is the legal, valid and binding obligation of the Issuer, enforceable against it in accordance with its terms, subject to customary qualifications.</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9.06</w:t>
      </w:r>
      <w:r>
        <w:rPr>
          <w:sz w:val="20"/>
          <w:szCs w:val="20"/>
          <w:color w:val="auto"/>
        </w:rPr>
        <w:tab/>
      </w:r>
      <w:r>
        <w:rPr>
          <w:rFonts w:ascii="Times New Roman" w:cs="Times New Roman" w:eastAsia="Times New Roman" w:hAnsi="Times New Roman"/>
          <w:sz w:val="19"/>
          <w:szCs w:val="19"/>
          <w:i w:val="1"/>
          <w:iCs w:val="1"/>
          <w:color w:val="auto"/>
        </w:rPr>
        <w:t>Effect of Supplemental Indentures.</w:t>
      </w:r>
    </w:p>
    <w:p>
      <w:pPr>
        <w:spacing w:after="0" w:line="19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Upon the execution of any amended or supplemental indenture under this Article 9, this Indenture shall be modified in accordance therewith, and such amended or supplemental indenture shall form a part of this Indenture for all purposes; and every Holder of Notes theretofore or thereafter authenticated and delivered hereunder shall be bound thereby.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10</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GUARANTEES</w:t>
      </w:r>
    </w:p>
    <w:p>
      <w:pPr>
        <w:spacing w:after="0" w:line="168"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10.01</w:t>
      </w:r>
      <w:r>
        <w:rPr>
          <w:sz w:val="20"/>
          <w:szCs w:val="20"/>
          <w:color w:val="auto"/>
        </w:rPr>
        <w:tab/>
      </w:r>
      <w:r>
        <w:rPr>
          <w:rFonts w:ascii="Times New Roman" w:cs="Times New Roman" w:eastAsia="Times New Roman" w:hAnsi="Times New Roman"/>
          <w:sz w:val="19"/>
          <w:szCs w:val="19"/>
          <w:i w:val="1"/>
          <w:iCs w:val="1"/>
          <w:color w:val="auto"/>
        </w:rPr>
        <w:t>Guarantee.</w:t>
      </w:r>
    </w:p>
    <w:p>
      <w:pPr>
        <w:spacing w:after="0" w:line="194" w:lineRule="exact"/>
        <w:rPr>
          <w:sz w:val="20"/>
          <w:szCs w:val="20"/>
          <w:color w:val="auto"/>
        </w:rPr>
      </w:pPr>
    </w:p>
    <w:p>
      <w:pPr>
        <w:jc w:val="both"/>
        <w:ind w:firstLine="1278"/>
        <w:spacing w:after="0" w:line="251" w:lineRule="auto"/>
        <w:tabs>
          <w:tab w:leader="none" w:pos="1697"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136" w:lineRule="exact"/>
        <w:rPr>
          <w:rFonts w:ascii="Times New Roman" w:cs="Times New Roman" w:eastAsia="Times New Roman" w:hAnsi="Times New Roman"/>
          <w:sz w:val="19"/>
          <w:szCs w:val="19"/>
          <w:color w:val="auto"/>
        </w:rPr>
      </w:pPr>
    </w:p>
    <w:p>
      <w:pPr>
        <w:jc w:val="both"/>
        <w:ind w:left="640" w:firstLine="1274"/>
        <w:spacing w:after="0" w:line="245" w:lineRule="auto"/>
        <w:tabs>
          <w:tab w:leader="none" w:pos="2350"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of, premium on, if any, and interest on, the Notes will be promptly paid in full when due, whether at Stated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154"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71"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36" w:lineRule="exact"/>
        <w:rPr>
          <w:sz w:val="20"/>
          <w:szCs w:val="20"/>
          <w:color w:val="auto"/>
        </w:rPr>
      </w:pPr>
    </w:p>
    <w:p>
      <w:pPr>
        <w:jc w:val="both"/>
        <w:ind w:firstLine="1278"/>
        <w:spacing w:after="0" w:line="239" w:lineRule="auto"/>
        <w:tabs>
          <w:tab w:leader="none" w:pos="1734"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Guarantee will not be discharged except by complete performance of the obligations contained in the Notes and this Indenture.</w:t>
      </w:r>
    </w:p>
    <w:p>
      <w:pPr>
        <w:spacing w:after="0" w:line="15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04"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Holder or the Trustee is required by any court or otherwise to return to the Issuer, the Guarantors or any custodian, trustee, liquidator or other similar official acting in relation to either the Issuer or the Guarantors, any amount paid by any of them to the Trustee or such Holder, this Guarantee, to the extent theretofore discharged, will be reinstated in full force and effect.</w:t>
      </w:r>
    </w:p>
    <w:p>
      <w:pPr>
        <w:spacing w:after="0" w:line="149" w:lineRule="exact"/>
        <w:rPr>
          <w:rFonts w:ascii="Times New Roman" w:cs="Times New Roman" w:eastAsia="Times New Roman" w:hAnsi="Times New Roman"/>
          <w:sz w:val="19"/>
          <w:szCs w:val="19"/>
          <w:color w:val="auto"/>
        </w:rPr>
      </w:pPr>
    </w:p>
    <w:p>
      <w:pPr>
        <w:jc w:val="both"/>
        <w:ind w:firstLine="1278"/>
        <w:spacing w:after="0" w:line="238" w:lineRule="auto"/>
        <w:tabs>
          <w:tab w:leader="none" w:pos="1742"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4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10.02</w:t>
      </w:r>
      <w:r>
        <w:rPr>
          <w:sz w:val="20"/>
          <w:szCs w:val="20"/>
          <w:color w:val="auto"/>
        </w:rPr>
        <w:tab/>
      </w:r>
      <w:r>
        <w:rPr>
          <w:rFonts w:ascii="Times New Roman" w:cs="Times New Roman" w:eastAsia="Times New Roman" w:hAnsi="Times New Roman"/>
          <w:sz w:val="19"/>
          <w:szCs w:val="19"/>
          <w:i w:val="1"/>
          <w:iCs w:val="1"/>
          <w:color w:val="auto"/>
        </w:rPr>
        <w:t>Limitation on Guarantor Liability.</w:t>
      </w:r>
    </w:p>
    <w:p>
      <w:pPr>
        <w:spacing w:after="0" w:line="194"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Each Guarantor and, by its acceptance of Notes, each Holder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 Until such time as the Notes are paid in full, each Guarantor hereby waives all rights of subrogation or contribution, whether arising by contract or operation of law (including any such right arising under federal Bankruptcy Law) or otherwise by reason of any payment by it pursuant to the provisions of this Article 10.</w:t>
      </w:r>
    </w:p>
    <w:p>
      <w:pPr>
        <w:spacing w:after="0" w:line="15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10.03</w:t>
      </w:r>
      <w:r>
        <w:rPr>
          <w:sz w:val="20"/>
          <w:szCs w:val="20"/>
          <w:color w:val="auto"/>
        </w:rPr>
        <w:tab/>
      </w:r>
      <w:r>
        <w:rPr>
          <w:rFonts w:ascii="Times New Roman" w:cs="Times New Roman" w:eastAsia="Times New Roman" w:hAnsi="Times New Roman"/>
          <w:sz w:val="19"/>
          <w:szCs w:val="19"/>
          <w:i w:val="1"/>
          <w:iCs w:val="1"/>
          <w:color w:val="auto"/>
        </w:rPr>
        <w:t>Guarantee Evidenced by Indenture.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Guarantee of any Guarantor shall be evidenced solely by its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Indenture (or, in the case of any Guarantor that is not party to this Indenture on the Issue Date, a supplemental indenture hereto) and not by an endorsement on, or attachment to, any Note or any Guarantee or notation thereof.</w:t>
      </w:r>
    </w:p>
    <w:p>
      <w:pPr>
        <w:spacing w:after="0" w:line="118"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Each Guarantor hereby agrees that its Guarantee set forth in Section 10.01 will remain in full force and effect notwithstanding any failure to endorse on each Note a notation of such Guarantee.</w:t>
      </w:r>
    </w:p>
    <w:p>
      <w:pPr>
        <w:spacing w:after="0" w:line="13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delivery of any Note by the Trustee, after the authentication thereof hereunder, will constitute due delivery of the Guarantee set forth in this Indenture on behalf of the Guarantors.</w:t>
      </w:r>
    </w:p>
    <w:p>
      <w:pPr>
        <w:spacing w:after="0" w:line="12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10.04</w:t>
      </w:r>
      <w:r>
        <w:rPr>
          <w:sz w:val="20"/>
          <w:szCs w:val="20"/>
          <w:color w:val="auto"/>
        </w:rPr>
        <w:tab/>
      </w:r>
      <w:r>
        <w:rPr>
          <w:rFonts w:ascii="Times New Roman" w:cs="Times New Roman" w:eastAsia="Times New Roman" w:hAnsi="Times New Roman"/>
          <w:sz w:val="19"/>
          <w:szCs w:val="19"/>
          <w:i w:val="1"/>
          <w:iCs w:val="1"/>
          <w:color w:val="auto"/>
        </w:rPr>
        <w:t>Releases.</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Notwithstanding anything to the contrary in this Indenture, the Guarantee of a Guarantor shall be released, and such Guarantor deemed automatically and unconditionally released and discharged from all of its obligations under this Indenture, in each case without any further action on the part of the Trustee or any Holder of the Notes:</w:t>
      </w:r>
    </w:p>
    <w:p>
      <w:pPr>
        <w:spacing w:after="0" w:line="149" w:lineRule="exact"/>
        <w:rPr>
          <w:sz w:val="20"/>
          <w:szCs w:val="20"/>
          <w:color w:val="auto"/>
        </w:rPr>
      </w:pPr>
    </w:p>
    <w:p>
      <w:pPr>
        <w:jc w:val="both"/>
        <w:ind w:firstLine="1278"/>
        <w:spacing w:after="0" w:line="251" w:lineRule="auto"/>
        <w:tabs>
          <w:tab w:leader="none" w:pos="1718"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or other disposition of all or substantially all of the properties or assets of that Guarantor, by way of merger, consolidation or otherwise, to a Person that is not (either before or after giving effect to such transaction) the Issuer or a Restricted Subsidiary of the Issuer, if the sale or other disposition does not violate Section 4.10;</w:t>
      </w:r>
    </w:p>
    <w:p>
      <w:pPr>
        <w:spacing w:after="0" w:line="14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1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or other disposition of Capital Stock of that Guarantor to a Person that is not (either before or after giving effect to such transaction) the Issuer or a Restricted Subsidiary of the Issuer, if the sale or other disposition does not violate Section 4.10 and such Guarantor ceases to be a Restricted Subsidiary of the Issuer as a result of the sale or other disposition;</w:t>
      </w:r>
    </w:p>
    <w:p>
      <w:pPr>
        <w:spacing w:after="0" w:line="136" w:lineRule="exact"/>
        <w:rPr>
          <w:rFonts w:ascii="Times New Roman" w:cs="Times New Roman" w:eastAsia="Times New Roman" w:hAnsi="Times New Roman"/>
          <w:sz w:val="19"/>
          <w:szCs w:val="19"/>
          <w:color w:val="auto"/>
        </w:rPr>
      </w:pPr>
    </w:p>
    <w:p>
      <w:pPr>
        <w:ind w:left="1680" w:hanging="402"/>
        <w:spacing w:after="0"/>
        <w:tabs>
          <w:tab w:leader="none" w:pos="168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designates such Guarantor to be an Unrestricted Subsidiary in accordance with the terms of this Indenture;</w:t>
      </w:r>
    </w:p>
    <w:p>
      <w:pPr>
        <w:spacing w:after="0" w:line="192" w:lineRule="exact"/>
        <w:rPr>
          <w:rFonts w:ascii="Times New Roman" w:cs="Times New Roman" w:eastAsia="Times New Roman" w:hAnsi="Times New Roman"/>
          <w:sz w:val="19"/>
          <w:szCs w:val="19"/>
          <w:color w:val="auto"/>
        </w:rPr>
      </w:pPr>
    </w:p>
    <w:p>
      <w:pPr>
        <w:ind w:firstLine="1278"/>
        <w:spacing w:after="0" w:line="270" w:lineRule="auto"/>
        <w:tabs>
          <w:tab w:leader="none" w:pos="1836"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Legal Defeasance or Covenant Defeasance in accordance with Article 8 or satisfaction and discharge of this Indenture in accordance with Article 11;</w:t>
      </w:r>
    </w:p>
    <w:p>
      <w:pPr>
        <w:spacing w:after="0" w:line="129" w:lineRule="exact"/>
        <w:rPr>
          <w:rFonts w:ascii="Times New Roman" w:cs="Times New Roman" w:eastAsia="Times New Roman" w:hAnsi="Times New Roman"/>
          <w:sz w:val="19"/>
          <w:szCs w:val="19"/>
          <w:color w:val="auto"/>
        </w:rPr>
      </w:pPr>
    </w:p>
    <w:p>
      <w:pPr>
        <w:ind w:left="1800" w:hanging="522"/>
        <w:spacing w:after="0"/>
        <w:tabs>
          <w:tab w:leader="none" w:pos="180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liquidation or dissolution of such Guarantor,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no Default or Event of Default has occurred that is</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continuing;</w:t>
      </w:r>
    </w:p>
    <w:p>
      <w:pPr>
        <w:spacing w:after="0" w:line="157" w:lineRule="exact"/>
        <w:rPr>
          <w:rFonts w:ascii="Times New Roman" w:cs="Times New Roman" w:eastAsia="Times New Roman" w:hAnsi="Times New Roman"/>
          <w:sz w:val="19"/>
          <w:szCs w:val="19"/>
          <w:color w:val="auto"/>
        </w:rPr>
      </w:pPr>
    </w:p>
    <w:p>
      <w:pPr>
        <w:ind w:firstLine="1278"/>
        <w:spacing w:after="0" w:line="270" w:lineRule="auto"/>
        <w:tabs>
          <w:tab w:leader="none" w:pos="1683"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Guarantor consolidating with, merging into or transferring all of its properties or assets to the Issuer or another Guarantor, and as a result of, or in connection with, such transaction such Guarantor dissolving or otherwise ceasing to exist; or</w:t>
      </w:r>
    </w:p>
    <w:p>
      <w:pPr>
        <w:spacing w:after="0" w:line="131" w:lineRule="exact"/>
        <w:rPr>
          <w:rFonts w:ascii="Times New Roman" w:cs="Times New Roman" w:eastAsia="Times New Roman" w:hAnsi="Times New Roman"/>
          <w:sz w:val="19"/>
          <w:szCs w:val="19"/>
          <w:color w:val="auto"/>
        </w:rPr>
      </w:pPr>
    </w:p>
    <w:p>
      <w:pPr>
        <w:jc w:val="both"/>
        <w:ind w:firstLine="1278"/>
        <w:spacing w:after="0" w:line="255" w:lineRule="auto"/>
        <w:tabs>
          <w:tab w:leader="none" w:pos="173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such time as such Guarantor ceases to guarantee or otherwise be an obligor with respect to any other Indebtedness of the Issuer or any other Guarantor in excess of the De Minimis Guaranteed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no Event of Default has occurred that is continuing.</w:t>
      </w:r>
    </w:p>
    <w:p>
      <w:pPr>
        <w:spacing w:after="0" w:line="37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Any Guarantor not released from its obligations under its Guarantee as provided in this Section 10.04 will remain liable for the full amount of principal of, premium on, if any, and interest on the Notes and for the other obligations of such Guarantor under this Indenture as provided in this Article 10.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11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SATISFACTION AND DISCHARGE</w:t>
      </w:r>
    </w:p>
    <w:p>
      <w:pPr>
        <w:spacing w:after="0" w:line="15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11.01</w:t>
      </w:r>
      <w:r>
        <w:rPr>
          <w:sz w:val="20"/>
          <w:szCs w:val="20"/>
          <w:color w:val="auto"/>
        </w:rPr>
        <w:tab/>
      </w:r>
      <w:r>
        <w:rPr>
          <w:rFonts w:ascii="Times New Roman" w:cs="Times New Roman" w:eastAsia="Times New Roman" w:hAnsi="Times New Roman"/>
          <w:sz w:val="19"/>
          <w:szCs w:val="19"/>
          <w:i w:val="1"/>
          <w:iCs w:val="1"/>
          <w:color w:val="auto"/>
        </w:rPr>
        <w:t>Satisfaction and Discharge.</w:t>
      </w:r>
    </w:p>
    <w:p>
      <w:pPr>
        <w:spacing w:after="0" w:line="19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This Indenture will be discharged and will cease to be of further effect as to all Notes issued hereunder (except as to surviving rights of registration of transfer or exchange of the Notes and as otherwise specified in this Article 11), and the Trustee, at the expense of the Issuer, shall execute proper instruments acknowledging such satisfaction and discharge of this Indenture, when:</w:t>
      </w:r>
    </w:p>
    <w:p>
      <w:pPr>
        <w:spacing w:after="0" w:line="149" w:lineRule="exact"/>
        <w:rPr>
          <w:sz w:val="20"/>
          <w:szCs w:val="20"/>
          <w:color w:val="auto"/>
        </w:rPr>
      </w:pPr>
    </w:p>
    <w:p>
      <w:pPr>
        <w:ind w:left="1680" w:hanging="402"/>
        <w:spacing w:after="0"/>
        <w:tabs>
          <w:tab w:leader="none" w:pos="168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w:t>
      </w:r>
    </w:p>
    <w:p>
      <w:pPr>
        <w:spacing w:after="0" w:line="179" w:lineRule="exact"/>
        <w:rPr>
          <w:rFonts w:ascii="Times New Roman" w:cs="Times New Roman" w:eastAsia="Times New Roman" w:hAnsi="Times New Roman"/>
          <w:sz w:val="19"/>
          <w:szCs w:val="19"/>
          <w:color w:val="auto"/>
        </w:rPr>
      </w:pPr>
    </w:p>
    <w:p>
      <w:pPr>
        <w:jc w:val="both"/>
        <w:ind w:left="640" w:firstLine="1274"/>
        <w:spacing w:after="0" w:line="251" w:lineRule="auto"/>
        <w:tabs>
          <w:tab w:leader="none" w:pos="2359"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149" w:lineRule="exact"/>
        <w:rPr>
          <w:rFonts w:ascii="Times New Roman" w:cs="Times New Roman" w:eastAsia="Times New Roman" w:hAnsi="Times New Roman"/>
          <w:sz w:val="19"/>
          <w:szCs w:val="19"/>
          <w:color w:val="auto"/>
        </w:rPr>
      </w:pPr>
    </w:p>
    <w:p>
      <w:pPr>
        <w:jc w:val="both"/>
        <w:ind w:left="640" w:firstLine="1274"/>
        <w:spacing w:after="0" w:line="235" w:lineRule="auto"/>
        <w:tabs>
          <w:tab w:leader="none" w:pos="2333"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Notes that have not been delivered to the Trustee for cancellation have become due and payable or will become due and payable within one year by reason of the mailing of a notice of redemption or otherwise and the Issuer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interest to the date of Stated Maturity or redemption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redemption is made as provided in Section 3.07(b)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9"/>
          <w:szCs w:val="19"/>
          <w:i w:val="1"/>
          <w:iCs w:val="1"/>
          <w:color w:val="auto"/>
        </w:rPr>
        <w:t>Applicable Premium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Deficit</w:t>
      </w:r>
      <w:r>
        <w:rPr>
          <w:rFonts w:ascii="Times New Roman" w:cs="Times New Roman" w:eastAsia="Times New Roman" w:hAnsi="Times New Roman"/>
          <w:sz w:val="19"/>
          <w:szCs w:val="19"/>
          <w:color w:val="auto"/>
        </w:rPr>
        <w:t>”) (it being understood that any satisfaction and discharge shall be subject to the condition subsequent that such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Premium Deficit is in fact paid);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64"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paid or caused to be paid all other sums payable by the Issuer under this Indenture; and</w:t>
      </w:r>
    </w:p>
    <w:p>
      <w:pPr>
        <w:spacing w:after="0" w:line="179" w:lineRule="exact"/>
        <w:rPr>
          <w:rFonts w:ascii="Times New Roman" w:cs="Times New Roman" w:eastAsia="Times New Roman" w:hAnsi="Times New Roman"/>
          <w:sz w:val="19"/>
          <w:szCs w:val="19"/>
          <w:color w:val="auto"/>
        </w:rPr>
      </w:pPr>
    </w:p>
    <w:p>
      <w:pPr>
        <w:ind w:firstLine="1278"/>
        <w:spacing w:after="0" w:line="270" w:lineRule="auto"/>
        <w:tabs>
          <w:tab w:leader="none" w:pos="177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applicable, the Issuer has delivered irrevocable instructions to the Trustee to apply the deposited money toward the payment of the Notes at Stated Maturity or on the redemption date, as the case may be.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8"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In addition, the Issuer must deliver an Officers’ Certificate and an Opinion of Counsel to the Trustee stating that all conditions precedent to satisfaction and discharge have been satisfied.</w:t>
      </w:r>
    </w:p>
    <w:p>
      <w:pPr>
        <w:spacing w:after="0" w:line="11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Notwithstanding the satisfaction and discharge of this Indenture, if money or Government Securities have been deposited with the Trustee pursuant to subclause (2) of clause (a) of this Section 11.01, the provisions of Sections 11.02 and 8.06 will survive. In addition, nothing in this Section 11.01 will be deemed to discharge those provisions of Section 7.07, that, by their terms, survive the satisfaction and discharge of this Indenture.</w:t>
      </w:r>
    </w:p>
    <w:p>
      <w:pPr>
        <w:spacing w:after="0" w:line="15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11.02</w:t>
      </w:r>
      <w:r>
        <w:rPr>
          <w:sz w:val="20"/>
          <w:szCs w:val="20"/>
          <w:color w:val="auto"/>
        </w:rPr>
        <w:tab/>
      </w:r>
      <w:r>
        <w:rPr>
          <w:rFonts w:ascii="Times New Roman" w:cs="Times New Roman" w:eastAsia="Times New Roman" w:hAnsi="Times New Roman"/>
          <w:sz w:val="19"/>
          <w:szCs w:val="19"/>
          <w:i w:val="1"/>
          <w:iCs w:val="1"/>
          <w:color w:val="auto"/>
        </w:rPr>
        <w:t>Application of Trust Money.</w:t>
      </w:r>
    </w:p>
    <w:p>
      <w:pPr>
        <w:spacing w:after="0" w:line="194"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Subject to the provisions of Section 8.06, all money or Government Securities deposited with the Trustee pursuant to Section 11.01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or Government Securities have been deposited with the Trustee; but such money or Government Securities need not be segregated from other funds except to the extent required by law.</w:t>
      </w:r>
    </w:p>
    <w:p>
      <w:pPr>
        <w:spacing w:after="0" w:line="144"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Issuer has made any payment of principal of, premium on, if any, or interest on, any Notes because of the reinstatement of their obligations, the Issuer shall be subrogated to the rights of the Holders of such Notes to receive such payment from the money or Government Securities held by the Trustee or Paying Agent.</w:t>
      </w:r>
    </w:p>
    <w:p>
      <w:pPr>
        <w:spacing w:after="0" w:line="160"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Notwithstanding the above, the Trustee shall pay to the Issuer from time to time upon its request any money or Government Securities held by it as provided in this Section 11.02 which, in the opinion of a nationally recognized firm of independent public accountants expressed in a written certification delivered to the Trustee, are in excess of the amount thereof that would then be required to be deposited to effect satisfaction and discharge under this Article 11.</w:t>
      </w:r>
    </w:p>
    <w:p>
      <w:pPr>
        <w:spacing w:after="0" w:line="155"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Subject to applicable law, any money or Government Securities deposited with the Trustee or any Paying Agent, or then held by the Issuer, in trust for the payment of the principal of, premium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12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MISCELLANEOUS</w:t>
      </w:r>
    </w:p>
    <w:p>
      <w:pPr>
        <w:spacing w:after="0" w:line="168"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12.01</w:t>
      </w:r>
      <w:r>
        <w:rPr>
          <w:sz w:val="20"/>
          <w:szCs w:val="20"/>
          <w:color w:val="auto"/>
        </w:rPr>
        <w:tab/>
      </w:r>
      <w:r>
        <w:rPr>
          <w:rFonts w:ascii="Times New Roman" w:cs="Times New Roman" w:eastAsia="Times New Roman" w:hAnsi="Times New Roman"/>
          <w:sz w:val="19"/>
          <w:szCs w:val="19"/>
          <w:i w:val="1"/>
          <w:iCs w:val="1"/>
          <w:color w:val="auto"/>
        </w:rPr>
        <w:t>[Reserved].</w:t>
      </w:r>
    </w:p>
    <w:p>
      <w:pPr>
        <w:spacing w:after="0" w:line="19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12.02</w:t>
      </w:r>
      <w:r>
        <w:rPr>
          <w:sz w:val="20"/>
          <w:szCs w:val="20"/>
          <w:color w:val="auto"/>
        </w:rPr>
        <w:tab/>
      </w:r>
      <w:r>
        <w:rPr>
          <w:rFonts w:ascii="Times New Roman" w:cs="Times New Roman" w:eastAsia="Times New Roman" w:hAnsi="Times New Roman"/>
          <w:sz w:val="19"/>
          <w:szCs w:val="19"/>
          <w:i w:val="1"/>
          <w:iCs w:val="1"/>
          <w:color w:val="auto"/>
        </w:rPr>
        <w:t>Notices.</w:t>
      </w:r>
    </w:p>
    <w:p>
      <w:pPr>
        <w:spacing w:after="0" w:line="18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Any notice or communication by the Issuer, any Guarantor or the Trustee to the others is duly given if in writing in the English language and delivered in Person or by first class mail (registered or certified,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return receipt requested), electronic image scan, facsimile transmission or overnight air courier guaranteeing next day delivery, to the others’ address: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to any of the Issuer and the Guarantors: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27200 Tourney Road, Suite 200</w:t>
      </w:r>
    </w:p>
    <w:p>
      <w:pPr>
        <w:ind w:left="640"/>
        <w:spacing w:after="0" w:line="232" w:lineRule="auto"/>
        <w:rPr>
          <w:sz w:val="20"/>
          <w:szCs w:val="20"/>
          <w:color w:val="auto"/>
        </w:rPr>
      </w:pPr>
      <w:r>
        <w:rPr>
          <w:rFonts w:ascii="Times New Roman" w:cs="Times New Roman" w:eastAsia="Times New Roman" w:hAnsi="Times New Roman"/>
          <w:sz w:val="19"/>
          <w:szCs w:val="19"/>
          <w:color w:val="auto"/>
        </w:rPr>
        <w:t>Santa Clarita, California 91355</w:t>
      </w:r>
    </w:p>
    <w:p>
      <w:pPr>
        <w:ind w:left="640"/>
        <w:spacing w:after="0" w:line="233" w:lineRule="auto"/>
        <w:rPr>
          <w:sz w:val="20"/>
          <w:szCs w:val="20"/>
          <w:color w:val="auto"/>
        </w:rPr>
      </w:pPr>
      <w:r>
        <w:rPr>
          <w:rFonts w:ascii="Times New Roman" w:cs="Times New Roman" w:eastAsia="Times New Roman" w:hAnsi="Times New Roman"/>
          <w:sz w:val="19"/>
          <w:szCs w:val="19"/>
          <w:color w:val="auto"/>
        </w:rPr>
        <w:t>Facsimile No.: (818) 661-3750</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Attention: Chief Financial Officer</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to the Trustee: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50 South Sixth Street, Suite 1290</w:t>
      </w:r>
    </w:p>
    <w:p>
      <w:pPr>
        <w:ind w:left="640"/>
        <w:spacing w:after="0" w:line="232" w:lineRule="auto"/>
        <w:rPr>
          <w:sz w:val="20"/>
          <w:szCs w:val="20"/>
          <w:color w:val="auto"/>
        </w:rPr>
      </w:pPr>
      <w:r>
        <w:rPr>
          <w:rFonts w:ascii="Times New Roman" w:cs="Times New Roman" w:eastAsia="Times New Roman" w:hAnsi="Times New Roman"/>
          <w:sz w:val="19"/>
          <w:szCs w:val="19"/>
          <w:color w:val="auto"/>
        </w:rPr>
        <w:t>Minneapolis, Minnesota 55402</w:t>
      </w:r>
    </w:p>
    <w:p>
      <w:pPr>
        <w:ind w:left="640"/>
        <w:spacing w:after="0" w:line="233" w:lineRule="auto"/>
        <w:rPr>
          <w:sz w:val="20"/>
          <w:szCs w:val="20"/>
          <w:color w:val="auto"/>
        </w:rPr>
      </w:pPr>
      <w:r>
        <w:rPr>
          <w:rFonts w:ascii="Times New Roman" w:cs="Times New Roman" w:eastAsia="Times New Roman" w:hAnsi="Times New Roman"/>
          <w:sz w:val="19"/>
          <w:szCs w:val="19"/>
          <w:color w:val="auto"/>
        </w:rPr>
        <w:t>Facsimile No.: (612) 217-5651</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Attention: California Resources Corporation, Administrator</w:t>
      </w:r>
    </w:p>
    <w:p>
      <w:pPr>
        <w:spacing w:after="0" w:line="170"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Issuer, any Guarantor or the Trustee, by notice to the others, may designate additional or different addresses for subsequent notices or communications. Notices given by publication will be deemed given on the first date on which publication is made.</w:t>
      </w:r>
    </w:p>
    <w:p>
      <w:pPr>
        <w:spacing w:after="0" w:line="13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electronic image scan or facsimile; and the next Business Day after timely delivery to the courier, if sent by overnight air courier guaranteeing next day delivery.</w:t>
      </w:r>
    </w:p>
    <w:p>
      <w:pPr>
        <w:spacing w:after="0" w:line="14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49"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If a notice or communication is mailed in the manner provided above within the time prescribed, it is duly given, whether or not the addressee receives it.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the Issuer mails a notice or communication to Holders, the Issuer will mail a copy to the Trustee and each Agent at the same time.</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9"/>
          <w:szCs w:val="19"/>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37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Where this Indenture provides for notice in any manner, such notice may be waived in writing by the Person entitled to receive such notice, either before or after the event, and such waiver shall be the equivalent of such notice. Waivers of notice by the Holders shall be filed with the Trustee, but such filing shall not be a condition precedent to the validity of any action taken in reliance upon such waiver.</w:t>
      </w:r>
    </w:p>
    <w:p>
      <w:pPr>
        <w:spacing w:after="0" w:line="149"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Where this Indenture provides for notice of any event to a Holder of a Global Note, such notice shall be sufficiently given if given to the Depositary for such Note (or its designee), pursuant to 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Applicable Procedures, not later than the latest date (if any), and not earlier than the earliest date (if any), prescribed for the giving of such notice.</w:t>
      </w:r>
    </w:p>
    <w:p>
      <w:pPr>
        <w:spacing w:after="0" w:line="37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12.03</w:t>
      </w:r>
      <w:r>
        <w:rPr>
          <w:sz w:val="20"/>
          <w:szCs w:val="20"/>
          <w:color w:val="auto"/>
        </w:rPr>
        <w:tab/>
      </w:r>
      <w:r>
        <w:rPr>
          <w:rFonts w:ascii="Times New Roman" w:cs="Times New Roman" w:eastAsia="Times New Roman" w:hAnsi="Times New Roman"/>
          <w:sz w:val="19"/>
          <w:szCs w:val="19"/>
          <w:i w:val="1"/>
          <w:iCs w:val="1"/>
          <w:color w:val="auto"/>
        </w:rPr>
        <w:t>Benefit of Indenture.</w:t>
      </w:r>
    </w:p>
    <w:p>
      <w:pPr>
        <w:spacing w:after="0" w:line="194" w:lineRule="exact"/>
        <w:rPr>
          <w:sz w:val="20"/>
          <w:szCs w:val="20"/>
          <w:color w:val="auto"/>
        </w:rPr>
      </w:pPr>
    </w:p>
    <w:p>
      <w:pPr>
        <w:ind w:right="20" w:firstLine="636"/>
        <w:spacing w:after="0" w:line="270" w:lineRule="auto"/>
        <w:rPr>
          <w:sz w:val="20"/>
          <w:szCs w:val="20"/>
          <w:color w:val="auto"/>
        </w:rPr>
      </w:pPr>
      <w:r>
        <w:rPr>
          <w:rFonts w:ascii="Times New Roman" w:cs="Times New Roman" w:eastAsia="Times New Roman" w:hAnsi="Times New Roman"/>
          <w:sz w:val="19"/>
          <w:szCs w:val="19"/>
          <w:color w:val="auto"/>
        </w:rPr>
        <w:t>Nothing in this Indenture or in the Notes, express or implied, shall give to any Person, other than the parties hereto, any Paying Agent, any Registrar and their successors hereunder, and the Holders, any benefit or any legal or equitable right, remedy or claim under this Indenture.</w:t>
      </w:r>
    </w:p>
    <w:p>
      <w:pPr>
        <w:spacing w:after="0" w:line="12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12.04</w:t>
      </w:r>
      <w:r>
        <w:rPr>
          <w:sz w:val="20"/>
          <w:szCs w:val="20"/>
          <w:color w:val="auto"/>
        </w:rPr>
        <w:tab/>
      </w:r>
      <w:r>
        <w:rPr>
          <w:rFonts w:ascii="Times New Roman" w:cs="Times New Roman" w:eastAsia="Times New Roman" w:hAnsi="Times New Roman"/>
          <w:sz w:val="19"/>
          <w:szCs w:val="19"/>
          <w:i w:val="1"/>
          <w:iCs w:val="1"/>
          <w:color w:val="auto"/>
        </w:rPr>
        <w:t>Certificate and Opinion as to Conditions Precedent.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Upon any request or application by the Issuer to the Trustee to take any action under this Indenture, the Issuer shall furnish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Trustee:</w:t>
      </w:r>
    </w:p>
    <w:p>
      <w:pPr>
        <w:spacing w:after="0" w:line="170" w:lineRule="exact"/>
        <w:rPr>
          <w:sz w:val="20"/>
          <w:szCs w:val="20"/>
          <w:color w:val="auto"/>
        </w:rPr>
      </w:pPr>
    </w:p>
    <w:p>
      <w:pPr>
        <w:jc w:val="both"/>
        <w:ind w:firstLine="1278"/>
        <w:spacing w:after="0" w:line="251" w:lineRule="auto"/>
        <w:tabs>
          <w:tab w:leader="none" w:pos="168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in form and substance reasonably satisfactory to the Trustee (which must include the statements set forth in Section 12.05) stating that, in the opinion of the signers, all conditions precedent and covenants, if any, provided for in this Indenture relating to the proposed action have been satisfied; and</w:t>
      </w:r>
    </w:p>
    <w:p>
      <w:pPr>
        <w:spacing w:after="0" w:line="149" w:lineRule="exact"/>
        <w:rPr>
          <w:rFonts w:ascii="Times New Roman" w:cs="Times New Roman" w:eastAsia="Times New Roman" w:hAnsi="Times New Roman"/>
          <w:sz w:val="19"/>
          <w:szCs w:val="19"/>
          <w:color w:val="auto"/>
        </w:rPr>
      </w:pPr>
    </w:p>
    <w:p>
      <w:pPr>
        <w:ind w:right="20" w:firstLine="1278"/>
        <w:spacing w:after="0" w:line="270" w:lineRule="auto"/>
        <w:tabs>
          <w:tab w:leader="none" w:pos="1695"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Counsel in form and substance reasonably satisfactory to the Trustee (which must include the statements set forth in Section 12.05) stating that, in the opinion of such counsel, all such conditions precedent and covenants have been satisfied.</w:t>
      </w:r>
    </w:p>
    <w:p>
      <w:pPr>
        <w:spacing w:after="0" w:line="11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12.05</w:t>
      </w:r>
      <w:r>
        <w:rPr>
          <w:sz w:val="20"/>
          <w:szCs w:val="20"/>
          <w:color w:val="auto"/>
        </w:rPr>
        <w:tab/>
      </w:r>
      <w:r>
        <w:rPr>
          <w:rFonts w:ascii="Times New Roman" w:cs="Times New Roman" w:eastAsia="Times New Roman" w:hAnsi="Times New Roman"/>
          <w:sz w:val="19"/>
          <w:szCs w:val="19"/>
          <w:i w:val="1"/>
          <w:iCs w:val="1"/>
          <w:color w:val="auto"/>
        </w:rPr>
        <w:t>Statements Required in Certificate or Opinion.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Each certificate or opinion with respect to compliance with a condition or covenant provided for in this Indenture must include:</w:t>
      </w:r>
    </w:p>
    <w:p>
      <w:pPr>
        <w:spacing w:after="0" w:line="192" w:lineRule="exact"/>
        <w:rPr>
          <w:sz w:val="20"/>
          <w:szCs w:val="20"/>
          <w:color w:val="auto"/>
        </w:rPr>
      </w:pPr>
    </w:p>
    <w:p>
      <w:pPr>
        <w:ind w:left="1680" w:hanging="402"/>
        <w:spacing w:after="0"/>
        <w:tabs>
          <w:tab w:leader="none" w:pos="168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the person making such certificate or opinion has read such covenant or condition;</w:t>
      </w:r>
    </w:p>
    <w:p>
      <w:pPr>
        <w:spacing w:after="0" w:line="179" w:lineRule="exact"/>
        <w:rPr>
          <w:rFonts w:ascii="Times New Roman" w:cs="Times New Roman" w:eastAsia="Times New Roman" w:hAnsi="Times New Roman"/>
          <w:sz w:val="19"/>
          <w:szCs w:val="19"/>
          <w:color w:val="auto"/>
        </w:rPr>
      </w:pPr>
    </w:p>
    <w:p>
      <w:pPr>
        <w:ind w:firstLine="1278"/>
        <w:spacing w:after="0" w:line="270" w:lineRule="auto"/>
        <w:tabs>
          <w:tab w:leader="none" w:pos="175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brief statement as to the nature and scope of the examination or investigation upon which the statements or opinions contained in such certificate or opinion are based;</w:t>
      </w:r>
    </w:p>
    <w:p>
      <w:pPr>
        <w:spacing w:after="0" w:line="131" w:lineRule="exact"/>
        <w:rPr>
          <w:rFonts w:ascii="Times New Roman" w:cs="Times New Roman" w:eastAsia="Times New Roman" w:hAnsi="Times New Roman"/>
          <w:sz w:val="19"/>
          <w:szCs w:val="19"/>
          <w:color w:val="auto"/>
        </w:rPr>
      </w:pPr>
    </w:p>
    <w:p>
      <w:pPr>
        <w:ind w:firstLine="1278"/>
        <w:spacing w:after="0" w:line="270" w:lineRule="auto"/>
        <w:tabs>
          <w:tab w:leader="none" w:pos="1735"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31" w:lineRule="exact"/>
        <w:rPr>
          <w:rFonts w:ascii="Times New Roman" w:cs="Times New Roman" w:eastAsia="Times New Roman" w:hAnsi="Times New Roman"/>
          <w:sz w:val="19"/>
          <w:szCs w:val="19"/>
          <w:color w:val="auto"/>
        </w:rPr>
      </w:pPr>
    </w:p>
    <w:p>
      <w:pPr>
        <w:ind w:left="1700" w:hanging="422"/>
        <w:spacing w:after="0"/>
        <w:tabs>
          <w:tab w:leader="none" w:pos="170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as to whether or not, in the opinion of such person, such condition or covenant has been satisfied.</w:t>
      </w:r>
    </w:p>
    <w:p>
      <w:pPr>
        <w:spacing w:after="0" w:line="179"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Any certificate or opinion of an Officer with respect to any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or opinion of, or representation by, counsel may be based, insofar as it relates to factual matters, upon certificates of public officials or upon a certificate or opinion of, or representations by, an Officer or Officers with respect to any Person stating that the information with respect to such factual matters is in the possession of such Person (or, if such Person is a limited partnership, such Person’s general partner) unless such counsel knows, or in the exercise of reasonable care should know, that the certificate or opinion or representations with respect to such matters are erroneous.</w:t>
      </w:r>
    </w:p>
    <w:p>
      <w:pPr>
        <w:spacing w:after="0" w:line="14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12.06</w:t>
      </w:r>
      <w:r>
        <w:rPr>
          <w:sz w:val="20"/>
          <w:szCs w:val="20"/>
          <w:color w:val="auto"/>
        </w:rPr>
        <w:tab/>
      </w:r>
      <w:r>
        <w:rPr>
          <w:rFonts w:ascii="Times New Roman" w:cs="Times New Roman" w:eastAsia="Times New Roman" w:hAnsi="Times New Roman"/>
          <w:sz w:val="19"/>
          <w:szCs w:val="19"/>
          <w:i w:val="1"/>
          <w:iCs w:val="1"/>
          <w:color w:val="auto"/>
        </w:rPr>
        <w:t>Rules by Trustee and Agents.</w:t>
      </w:r>
    </w:p>
    <w:p>
      <w:pPr>
        <w:spacing w:after="0" w:line="19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The Trustee may make reasonable rules for action by or at a meeting of Holders. The Registrar or Paying Agent may make reasonable rules and set reasonable requirements for its functions.</w:t>
      </w:r>
    </w:p>
    <w:p>
      <w:pPr>
        <w:spacing w:after="0" w:line="11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12.07</w:t>
      </w:r>
      <w:r>
        <w:rPr>
          <w:sz w:val="20"/>
          <w:szCs w:val="20"/>
          <w:color w:val="auto"/>
        </w:rPr>
        <w:tab/>
      </w:r>
      <w:r>
        <w:rPr>
          <w:rFonts w:ascii="Times New Roman" w:cs="Times New Roman" w:eastAsia="Times New Roman" w:hAnsi="Times New Roman"/>
          <w:sz w:val="19"/>
          <w:szCs w:val="19"/>
          <w:i w:val="1"/>
          <w:iCs w:val="1"/>
          <w:color w:val="auto"/>
        </w:rPr>
        <w:t>No Personal Liability of Directors, Officers, Employees and Members.</w:t>
      </w:r>
    </w:p>
    <w:p>
      <w:pPr>
        <w:spacing w:after="0" w:line="194"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9"/>
          <w:szCs w:val="19"/>
          <w:color w:val="auto"/>
        </w:rPr>
        <w:t>No past, present or future director, officer, partner, employee, incorporator, member, manager, stockholder, unitholder or other owner of the Capital Stock of the Issuer or any Guarantor, as such, will have any liability for any obligations of the Issuer or the Guarantors under the Notes, this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37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12.08</w:t>
      </w:r>
      <w:r>
        <w:rPr>
          <w:sz w:val="20"/>
          <w:szCs w:val="20"/>
          <w:color w:val="auto"/>
        </w:rPr>
        <w:tab/>
      </w:r>
      <w:r>
        <w:rPr>
          <w:rFonts w:ascii="Times New Roman" w:cs="Times New Roman" w:eastAsia="Times New Roman" w:hAnsi="Times New Roman"/>
          <w:sz w:val="19"/>
          <w:szCs w:val="19"/>
          <w:i w:val="1"/>
          <w:iCs w:val="1"/>
          <w:color w:val="auto"/>
        </w:rPr>
        <w:t>Governing Law; Jurisdiction.</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THIS INDENTURE, THE NOTES AND THE GUARANTEES, AND ANY CLAIM, CONTROVERSY OR DISPUTE ARISING UNDER OR RELATED TO THIS INDENTURE, THE NOTES AND THE GUARANTEES, WILL BE GOVERNED BY, AND CONSTRUED IN ACCORDANCE WITH, THE LAWS OF THE STATE OF NEW YORK.</w:t>
      </w:r>
    </w:p>
    <w:p>
      <w:pPr>
        <w:spacing w:after="0" w:line="14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The parties hereby (a) irrevocably submit to the non-exclusive jurisdiction of any federal or state court sitting in the Borough of Manhattan, the City of New York, (b) waive any objection to laying of venue in any such action or proceeding in such courts, and (c) waive any objection that such courts are an inconvenient forum or do not have jurisdiction over any party.</w:t>
      </w:r>
    </w:p>
    <w:p>
      <w:pPr>
        <w:spacing w:after="0" w:line="14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12.09</w:t>
      </w:r>
      <w:r>
        <w:rPr>
          <w:sz w:val="20"/>
          <w:szCs w:val="20"/>
          <w:color w:val="auto"/>
        </w:rPr>
        <w:tab/>
      </w:r>
      <w:r>
        <w:rPr>
          <w:rFonts w:ascii="Times New Roman" w:cs="Times New Roman" w:eastAsia="Times New Roman" w:hAnsi="Times New Roman"/>
          <w:sz w:val="19"/>
          <w:szCs w:val="19"/>
          <w:i w:val="1"/>
          <w:iCs w:val="1"/>
          <w:color w:val="auto"/>
        </w:rPr>
        <w:t>No Adverse Interpretation of Other Agreements.</w:t>
      </w:r>
    </w:p>
    <w:p>
      <w:pPr>
        <w:spacing w:after="0" w:line="181"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2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12.10</w:t>
      </w:r>
      <w:r>
        <w:rPr>
          <w:sz w:val="20"/>
          <w:szCs w:val="20"/>
          <w:color w:val="auto"/>
        </w:rPr>
        <w:tab/>
      </w:r>
      <w:r>
        <w:rPr>
          <w:rFonts w:ascii="Times New Roman" w:cs="Times New Roman" w:eastAsia="Times New Roman" w:hAnsi="Times New Roman"/>
          <w:sz w:val="19"/>
          <w:szCs w:val="19"/>
          <w:i w:val="1"/>
          <w:iCs w:val="1"/>
          <w:color w:val="auto"/>
        </w:rPr>
        <w:t>Successors.</w:t>
      </w:r>
    </w:p>
    <w:p>
      <w:pPr>
        <w:spacing w:after="0" w:line="19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12.11</w:t>
      </w:r>
      <w:r>
        <w:rPr>
          <w:sz w:val="20"/>
          <w:szCs w:val="20"/>
          <w:color w:val="auto"/>
        </w:rPr>
        <w:tab/>
      </w:r>
      <w:r>
        <w:rPr>
          <w:rFonts w:ascii="Times New Roman" w:cs="Times New Roman" w:eastAsia="Times New Roman" w:hAnsi="Times New Roman"/>
          <w:sz w:val="19"/>
          <w:szCs w:val="19"/>
          <w:i w:val="1"/>
          <w:iCs w:val="1"/>
          <w:color w:val="auto"/>
        </w:rPr>
        <w:t>Severability; Entire Agreement.</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In case any provision in this Indenture or in the Notes is invalid, illegal or unenforceable, the validity, legality and enforceability of the remaining provisions will not in any way be affected or impaired thereby. This Indenture and the exhibits hereto set forth the entire agreement and understanding of the parties related to this transaction and supersedes all prior agreements and understandings, oral and written.</w:t>
      </w:r>
    </w:p>
    <w:p>
      <w:pPr>
        <w:spacing w:after="0" w:line="14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12.12</w:t>
      </w:r>
      <w:r>
        <w:rPr>
          <w:sz w:val="20"/>
          <w:szCs w:val="20"/>
          <w:color w:val="auto"/>
        </w:rPr>
        <w:tab/>
      </w:r>
      <w:r>
        <w:rPr>
          <w:rFonts w:ascii="Times New Roman" w:cs="Times New Roman" w:eastAsia="Times New Roman" w:hAnsi="Times New Roman"/>
          <w:sz w:val="19"/>
          <w:szCs w:val="19"/>
          <w:i w:val="1"/>
          <w:iCs w:val="1"/>
          <w:color w:val="auto"/>
        </w:rPr>
        <w:t>Counterpart Originals.</w:t>
      </w:r>
    </w:p>
    <w:p>
      <w:pPr>
        <w:spacing w:after="0" w:line="194" w:lineRule="exact"/>
        <w:rPr>
          <w:sz w:val="20"/>
          <w:szCs w:val="20"/>
          <w:color w:val="auto"/>
        </w:rPr>
      </w:pPr>
    </w:p>
    <w:p>
      <w:pPr>
        <w:jc w:val="both"/>
        <w:ind w:firstLine="636"/>
        <w:spacing w:after="0" w:line="236" w:lineRule="auto"/>
        <w:rPr>
          <w:sz w:val="20"/>
          <w:szCs w:val="20"/>
          <w:color w:val="auto"/>
        </w:rPr>
      </w:pPr>
      <w:r>
        <w:rPr>
          <w:rFonts w:ascii="Times New Roman" w:cs="Times New Roman" w:eastAsia="Times New Roman" w:hAnsi="Times New Roman"/>
          <w:sz w:val="19"/>
          <w:szCs w:val="19"/>
          <w:color w:val="auto"/>
        </w:rPr>
        <w:t xml:space="preserve">The parties may sign any number of copies of this Indenture, and each party hereto may sign any number of separate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other than authentication of the Notes by the Trustee. The words “execution,” “signed,” “signature,” “delivery,” and words of like import in or relating to this Indenture, other than the certificate of authentication of the Notes by the Trustee,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4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12.13</w:t>
      </w:r>
      <w:r>
        <w:rPr>
          <w:sz w:val="20"/>
          <w:szCs w:val="20"/>
          <w:color w:val="auto"/>
        </w:rPr>
        <w:tab/>
      </w:r>
      <w:r>
        <w:rPr>
          <w:rFonts w:ascii="Times New Roman" w:cs="Times New Roman" w:eastAsia="Times New Roman" w:hAnsi="Times New Roman"/>
          <w:sz w:val="19"/>
          <w:szCs w:val="19"/>
          <w:i w:val="1"/>
          <w:iCs w:val="1"/>
          <w:color w:val="auto"/>
        </w:rPr>
        <w:t>Table of Contents, Headings, etc.</w:t>
      </w:r>
    </w:p>
    <w:p>
      <w:pPr>
        <w:spacing w:after="0" w:line="194" w:lineRule="exact"/>
        <w:rPr>
          <w:sz w:val="20"/>
          <w:szCs w:val="20"/>
          <w:color w:val="auto"/>
        </w:rPr>
      </w:pPr>
    </w:p>
    <w:p>
      <w:pPr>
        <w:jc w:val="both"/>
        <w:ind w:right="20" w:firstLine="636"/>
        <w:spacing w:after="0" w:line="270" w:lineRule="auto"/>
        <w:rPr>
          <w:sz w:val="20"/>
          <w:szCs w:val="20"/>
          <w:color w:val="auto"/>
        </w:rPr>
      </w:pPr>
      <w:r>
        <w:rPr>
          <w:rFonts w:ascii="Times New Roman" w:cs="Times New Roman" w:eastAsia="Times New Roman" w:hAnsi="Times New Roman"/>
          <w:sz w:val="19"/>
          <w:szCs w:val="19"/>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12.14</w:t>
      </w:r>
      <w:r>
        <w:rPr>
          <w:sz w:val="20"/>
          <w:szCs w:val="20"/>
          <w:color w:val="auto"/>
        </w:rPr>
        <w:tab/>
      </w:r>
      <w:r>
        <w:rPr>
          <w:rFonts w:ascii="Times New Roman" w:cs="Times New Roman" w:eastAsia="Times New Roman" w:hAnsi="Times New Roman"/>
          <w:sz w:val="19"/>
          <w:szCs w:val="19"/>
          <w:i w:val="1"/>
          <w:iCs w:val="1"/>
          <w:color w:val="auto"/>
        </w:rPr>
        <w:t>Payment Date Other Than a Business Day.</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If any payment with respect to any principal of, premium on, if any, or interest on, any Note is due on a day which is not a Business Day, then the payment need not be made on such date, but may be made on the next Business Day with the same force and effect as if made on such date, and no interest will accrue for the intervening period.</w:t>
      </w:r>
    </w:p>
    <w:p>
      <w:pPr>
        <w:spacing w:after="0" w:line="14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12.15</w:t>
      </w:r>
      <w:r>
        <w:rPr>
          <w:sz w:val="20"/>
          <w:szCs w:val="20"/>
          <w:color w:val="auto"/>
        </w:rPr>
        <w:tab/>
      </w:r>
      <w:r>
        <w:rPr>
          <w:rFonts w:ascii="Times New Roman" w:cs="Times New Roman" w:eastAsia="Times New Roman" w:hAnsi="Times New Roman"/>
          <w:sz w:val="19"/>
          <w:szCs w:val="19"/>
          <w:i w:val="1"/>
          <w:iCs w:val="1"/>
          <w:color w:val="auto"/>
        </w:rPr>
        <w:t>Action by Holders.</w:t>
      </w:r>
    </w:p>
    <w:p>
      <w:pPr>
        <w:spacing w:after="0" w:line="194" w:lineRule="exact"/>
        <w:rPr>
          <w:sz w:val="20"/>
          <w:szCs w:val="20"/>
          <w:color w:val="auto"/>
        </w:rPr>
      </w:pPr>
    </w:p>
    <w:p>
      <w:pPr>
        <w:jc w:val="both"/>
        <w:ind w:firstLine="1278"/>
        <w:spacing w:after="0" w:line="239" w:lineRule="auto"/>
        <w:tabs>
          <w:tab w:leader="none" w:pos="1751"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 demand, authorization, direction, notice, consent, waiver or other action provided by this Indenture to be given, made or taken by the Holders may be embodied in and evidenced by one or more instruments of substantially similar tenor signed by such Holders in person or by agents duly appointed in writing, and may be given, made or taken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“Act” of the Holders signing such instrument or instruments. Proof of execution of any such instrument or of a writing appointing any such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agent shall be sufficient for any purpose of this Indenture and conclusive in favor of the Trustee and the Issuer if made in the manner provided in this Section 12.15.</w:t>
      </w:r>
    </w:p>
    <w:p>
      <w:pPr>
        <w:spacing w:after="0" w:line="118"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9"/>
          <w:szCs w:val="19"/>
          <w:color w:val="auto"/>
        </w:rPr>
        <w:t>Without limiting the generality of this Section 12.15, unless otherwise provided in or pursuant to this Indenture, (i) a Holder, including a Depositary or its nominee that is a Holder of a Global Note, may give, make or take, by an agent or agents duly appointed in writing, any request, demand, authorization, direction, notice, consent, waiver or other Act provided in or pursuant to this Indenture to be given, made or taken by the Holders, and a Depositary or its nominee that is a Holder of a Global Note may duly appoint in writing as its agent or agents members of, or participants in, such Depositary holding interests in such Global Note in the records of such Depositary; and (ii) with respect to any Global Note the Depositary for which is DTC, any consent or other action given, made or taken by an “agent member” of DTC by electronic means in accordance with the Automated Tender Offer Procedures system or other customary procedures of, and pursuant to authorization by, DTC shall be deemed to constitute the “</w:t>
      </w:r>
      <w:r>
        <w:rPr>
          <w:rFonts w:ascii="Times New Roman" w:cs="Times New Roman" w:eastAsia="Times New Roman" w:hAnsi="Times New Roman"/>
          <w:sz w:val="19"/>
          <w:szCs w:val="19"/>
          <w:i w:val="1"/>
          <w:iCs w:val="1"/>
          <w:color w:val="auto"/>
        </w:rPr>
        <w:t>Act</w:t>
      </w:r>
      <w:r>
        <w:rPr>
          <w:rFonts w:ascii="Times New Roman" w:cs="Times New Roman" w:eastAsia="Times New Roman" w:hAnsi="Times New Roman"/>
          <w:sz w:val="19"/>
          <w:szCs w:val="19"/>
          <w:color w:val="auto"/>
        </w:rPr>
        <w:t>” of the Holder of such Global Note, and such Act shall be deemed to have been delivered to the Issuer and the Trustee upon the delivery by DTC of an “agent’s message” or other notice of such consent or other action having been so given, made or taken in accordance with the customary procedures of DTC.</w:t>
      </w:r>
    </w:p>
    <w:p>
      <w:pPr>
        <w:spacing w:after="0" w:line="161" w:lineRule="exact"/>
        <w:rPr>
          <w:sz w:val="20"/>
          <w:szCs w:val="20"/>
          <w:color w:val="auto"/>
        </w:rPr>
      </w:pPr>
    </w:p>
    <w:p>
      <w:pPr>
        <w:jc w:val="both"/>
        <w:ind w:firstLine="1278"/>
        <w:spacing w:after="0"/>
        <w:tabs>
          <w:tab w:leader="none" w:pos="173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59" w:lineRule="exact"/>
        <w:rPr>
          <w:rFonts w:ascii="Times New Roman" w:cs="Times New Roman" w:eastAsia="Times New Roman" w:hAnsi="Times New Roman"/>
          <w:sz w:val="19"/>
          <w:szCs w:val="19"/>
          <w:color w:val="auto"/>
        </w:rPr>
      </w:pPr>
    </w:p>
    <w:p>
      <w:pPr>
        <w:jc w:val="both"/>
        <w:ind w:firstLine="1278"/>
        <w:spacing w:after="0" w:line="251" w:lineRule="auto"/>
        <w:tabs>
          <w:tab w:leader="none" w:pos="1774"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Section 12.15 or elsewhere in this Indenture, the principal amount and serial numbers of Notes held by any Holder, and the date of holding the same, shall be proved by the register of the Notes maintained by the Registrar as provided in Section 2.03.</w:t>
      </w:r>
    </w:p>
    <w:p>
      <w:pPr>
        <w:spacing w:after="0" w:line="136" w:lineRule="exact"/>
        <w:rPr>
          <w:rFonts w:ascii="Times New Roman" w:cs="Times New Roman" w:eastAsia="Times New Roman" w:hAnsi="Times New Roman"/>
          <w:sz w:val="19"/>
          <w:szCs w:val="19"/>
          <w:color w:val="auto"/>
        </w:rPr>
      </w:pPr>
    </w:p>
    <w:p>
      <w:pPr>
        <w:jc w:val="both"/>
        <w:ind w:firstLine="1278"/>
        <w:spacing w:after="0"/>
        <w:tabs>
          <w:tab w:leader="none" w:pos="1773"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Issuer shall solicit from the Holders of the Notes any request, demand, authorization, direction, notice, consent, waiver or other Act, the Issuer may, at its option, by or pursuant to a resolution of its Board of Directors, fix in advance a record date for the determination of the Holders entitled to give, make or take such request, demand, authorization, direction, notice, consent, waiver or other Act, but the Issuer shall have no obligation to do so. Such record date shall be the record date specified in or pursuant to such resolution, which shall be a date not earlier than the date 30 days prior to the first solicitation of the Holders generally in connection therewith or the date of the most recent list of the Holders forwarded to the Trustee prior to such solicitation pursuant to Section 2.05 and not later than the date such solicitation is completed. If such a record date is fixed, then notwithstanding the second sentence of Section 9.04, any instrument embodying and evidencing such request, demand, authorization, direction, notice, consent, waiver or other Act may be executed before or after such record date, but only the Holders of record at the close of business on such record date (whether or not such Persons were Holders before, or continue to be Holders after, such record date) shall be deemed to be Holders for the purposes of determining whether Holders of the requisite proportion of the then outstanding Notes have given, made or taken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Act by the Holders of record on any record date shall be deemed effective unless it shall become effective pursuant to the provisions of this Indenture not later than eleven months after such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8" w:lineRule="exact"/>
        <w:rPr>
          <w:sz w:val="20"/>
          <w:szCs w:val="20"/>
          <w:color w:val="auto"/>
        </w:rPr>
      </w:pPr>
    </w:p>
    <w:p>
      <w:pPr>
        <w:jc w:val="both"/>
        <w:ind w:firstLine="1278"/>
        <w:spacing w:after="0" w:line="245" w:lineRule="auto"/>
        <w:tabs>
          <w:tab w:leader="none" w:pos="1717"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9.04,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Issuer in reliance thereon, whether or not notation of such action is made upon such Note.</w:t>
      </w:r>
    </w:p>
    <w:p>
      <w:pPr>
        <w:spacing w:after="0" w:line="141" w:lineRule="exact"/>
        <w:rPr>
          <w:rFonts w:ascii="Times New Roman" w:cs="Times New Roman" w:eastAsia="Times New Roman" w:hAnsi="Times New Roman"/>
          <w:sz w:val="19"/>
          <w:szCs w:val="19"/>
          <w:color w:val="auto"/>
        </w:rPr>
      </w:pPr>
    </w:p>
    <w:p>
      <w:pPr>
        <w:jc w:val="both"/>
        <w:ind w:firstLine="1278"/>
        <w:spacing w:after="0" w:line="251" w:lineRule="auto"/>
        <w:tabs>
          <w:tab w:leader="none" w:pos="168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a Holder entitled hereunder to give, make or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49" w:lineRule="exact"/>
        <w:rPr>
          <w:rFonts w:ascii="Times New Roman" w:cs="Times New Roman" w:eastAsia="Times New Roman" w:hAnsi="Times New Roman"/>
          <w:sz w:val="19"/>
          <w:szCs w:val="19"/>
          <w:color w:val="auto"/>
        </w:rPr>
      </w:pPr>
    </w:p>
    <w:p>
      <w:pPr>
        <w:ind w:firstLine="1278"/>
        <w:spacing w:after="0" w:line="270" w:lineRule="auto"/>
        <w:tabs>
          <w:tab w:leader="none" w:pos="1693"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Indenture, any action by the Holders which may be taken in writing may be taken by electronic means or as otherwise reasonably acceptable to the Trustee.</w:t>
      </w:r>
    </w:p>
    <w:p>
      <w:pPr>
        <w:spacing w:after="0" w:line="12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12.16</w:t>
      </w:r>
      <w:r>
        <w:rPr>
          <w:sz w:val="20"/>
          <w:szCs w:val="20"/>
          <w:color w:val="auto"/>
        </w:rPr>
        <w:tab/>
      </w:r>
      <w:r>
        <w:rPr>
          <w:rFonts w:ascii="Times New Roman" w:cs="Times New Roman" w:eastAsia="Times New Roman" w:hAnsi="Times New Roman"/>
          <w:sz w:val="19"/>
          <w:szCs w:val="19"/>
          <w:i w:val="1"/>
          <w:iCs w:val="1"/>
          <w:color w:val="auto"/>
        </w:rPr>
        <w:t>Waiver of Jury Trial.</w:t>
      </w:r>
    </w:p>
    <w:p>
      <w:pPr>
        <w:spacing w:after="0" w:line="181"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EACH OF THE ISSUER, THE GUARANTORS, THE HOLDERS AND THE TRUSTEE HEREBY IRREVOCABLY WAIVES, TO THE FULLEST EXTENT PERMITTED BY APPLICABLE LAW, ANY AND ALL RIGHT TO TRIAL BY JURY IN ANY LEGAL PROCEEDING ARISING OUT OF OR RELATING TO THIS INDENTURE, THE NOTES, THE GUARANTEES OR THE TRANSACTION CONTEMPLATED HEREBY</w:t>
      </w:r>
    </w:p>
    <w:p>
      <w:pPr>
        <w:spacing w:after="0" w:line="15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12.17</w:t>
      </w:r>
      <w:r>
        <w:rPr>
          <w:sz w:val="20"/>
          <w:szCs w:val="20"/>
          <w:color w:val="auto"/>
        </w:rPr>
        <w:tab/>
      </w:r>
      <w:r>
        <w:rPr>
          <w:rFonts w:ascii="Times New Roman" w:cs="Times New Roman" w:eastAsia="Times New Roman" w:hAnsi="Times New Roman"/>
          <w:sz w:val="19"/>
          <w:szCs w:val="19"/>
          <w:i w:val="1"/>
          <w:iCs w:val="1"/>
          <w:color w:val="auto"/>
        </w:rPr>
        <w:t>Electronic Delivery.</w:t>
      </w:r>
    </w:p>
    <w:p>
      <w:pPr>
        <w:spacing w:after="0" w:line="192"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9"/>
          <w:szCs w:val="19"/>
          <w:color w:val="auto"/>
        </w:rPr>
        <w:t>The Trustee shall have the right to accept and act upon instructions, including funds transfer instructions (“</w:t>
      </w:r>
      <w:r>
        <w:rPr>
          <w:rFonts w:ascii="Times New Roman" w:cs="Times New Roman" w:eastAsia="Times New Roman" w:hAnsi="Times New Roman"/>
          <w:sz w:val="19"/>
          <w:szCs w:val="19"/>
          <w:i w:val="1"/>
          <w:iCs w:val="1"/>
          <w:color w:val="auto"/>
        </w:rPr>
        <w:t>Instructions</w:t>
      </w:r>
      <w:r>
        <w:rPr>
          <w:rFonts w:ascii="Times New Roman" w:cs="Times New Roman" w:eastAsia="Times New Roman" w:hAnsi="Times New Roman"/>
          <w:sz w:val="19"/>
          <w:szCs w:val="19"/>
          <w:color w:val="auto"/>
        </w:rPr>
        <w:t>”) given pursuant to this Indenture and delivered using Electronic Means; provided, however, that the Issuer and/or any Guarantor shall provide to the an incumbency certificate listing officers with the authority to provide such Instructions (“</w:t>
      </w:r>
      <w:r>
        <w:rPr>
          <w:rFonts w:ascii="Times New Roman" w:cs="Times New Roman" w:eastAsia="Times New Roman" w:hAnsi="Times New Roman"/>
          <w:sz w:val="19"/>
          <w:szCs w:val="19"/>
          <w:i w:val="1"/>
          <w:iCs w:val="1"/>
          <w:color w:val="auto"/>
        </w:rPr>
        <w:t>Authorized Officers</w:t>
      </w:r>
      <w:r>
        <w:rPr>
          <w:rFonts w:ascii="Times New Roman" w:cs="Times New Roman" w:eastAsia="Times New Roman" w:hAnsi="Times New Roman"/>
          <w:sz w:val="19"/>
          <w:szCs w:val="19"/>
          <w:color w:val="auto"/>
        </w:rPr>
        <w:t>”) and containing specimen signatures of such Authorized Officers, which incumbency certificate shall be amended by the Issuer and/or any Guarantor whenever a person is to be added or deleted from the listing. If the Issuer and/or any Guarantor elects to give the Trustee Instructions using Electronic Means and the Trustee in its discretion elects to act upon such Instructions, the Trustee’s understanding of such Instructions shall be deemed controlling. The Issuer and the Guarantors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 and the Guarantors shall be responsible for ensuring that only Authorized Officers transmit such Instructions to the Trustee and that the Issuer, the Guarantors and all Authorized Officers are solely responsible to safeguard the use and confidentiality of applicable user and authorization codes, passwords and/or authentication keys upon receipt by the Issuer and the Guarantors.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or the Guarantors;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3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12.18</w:t>
      </w:r>
      <w:r>
        <w:rPr>
          <w:sz w:val="20"/>
          <w:szCs w:val="20"/>
          <w:color w:val="auto"/>
        </w:rPr>
        <w:tab/>
      </w:r>
      <w:r>
        <w:rPr>
          <w:rFonts w:ascii="Times New Roman" w:cs="Times New Roman" w:eastAsia="Times New Roman" w:hAnsi="Times New Roman"/>
          <w:sz w:val="19"/>
          <w:szCs w:val="19"/>
          <w:i w:val="1"/>
          <w:iCs w:val="1"/>
          <w:color w:val="auto"/>
        </w:rPr>
        <w:t>Language of Notices, Etc.</w:t>
      </w:r>
    </w:p>
    <w:p>
      <w:pPr>
        <w:spacing w:after="0" w:line="194" w:lineRule="exact"/>
        <w:rPr>
          <w:sz w:val="20"/>
          <w:szCs w:val="20"/>
          <w:color w:val="auto"/>
        </w:rPr>
      </w:pPr>
    </w:p>
    <w:p>
      <w:pPr>
        <w:ind w:right="160" w:firstLine="636"/>
        <w:spacing w:after="0" w:line="270" w:lineRule="auto"/>
        <w:rPr>
          <w:sz w:val="20"/>
          <w:szCs w:val="20"/>
          <w:color w:val="auto"/>
        </w:rPr>
      </w:pPr>
      <w:r>
        <w:rPr>
          <w:rFonts w:ascii="Times New Roman" w:cs="Times New Roman" w:eastAsia="Times New Roman" w:hAnsi="Times New Roman"/>
          <w:sz w:val="19"/>
          <w:szCs w:val="19"/>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110</w:t>
      </w:r>
    </w:p>
    <w:p>
      <w:pPr>
        <w:sectPr>
          <w:pgSz w:w="11900" w:h="16838" w:orient="portrait"/>
          <w:cols w:equalWidth="0" w:num="1">
            <w:col w:w="11240"/>
          </w:cols>
          <w:pgMar w:left="320" w:top="1440" w:right="339" w:bottom="1440" w:gutter="0" w:footer="0" w:header="0"/>
        </w:sectPr>
      </w:pPr>
    </w:p>
    <w:bookmarkStart w:id="123" w:name="page124"/>
    <w:bookmarkEnd w:id="123"/>
    <w:p>
      <w:pPr>
        <w:jc w:val="center"/>
        <w:ind w:right="-239"/>
        <w:spacing w:after="0"/>
        <w:rPr>
          <w:sz w:val="20"/>
          <w:szCs w:val="20"/>
          <w:color w:val="auto"/>
        </w:rPr>
      </w:pPr>
      <w:r>
        <w:rPr>
          <w:rFonts w:ascii="Times New Roman" w:cs="Times New Roman" w:eastAsia="Times New Roman" w:hAnsi="Times New Roman"/>
          <w:sz w:val="19"/>
          <w:szCs w:val="19"/>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as of January 20, 2021</w:t>
      </w:r>
    </w:p>
    <w:p>
      <w:pPr>
        <w:spacing w:after="0" w:line="2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CALIFORNIA RESOURCES CORPORATION,</w:t>
      </w:r>
    </w:p>
    <w:p>
      <w:pPr>
        <w:ind w:left="5060"/>
        <w:spacing w:after="0"/>
        <w:rPr>
          <w:sz w:val="20"/>
          <w:szCs w:val="20"/>
          <w:color w:val="auto"/>
        </w:rPr>
      </w:pPr>
      <w:r>
        <w:rPr>
          <w:rFonts w:ascii="Times New Roman" w:cs="Times New Roman" w:eastAsia="Times New Roman" w:hAnsi="Times New Roman"/>
          <w:sz w:val="19"/>
          <w:szCs w:val="19"/>
          <w:color w:val="auto"/>
        </w:rPr>
        <w:t>as the Issuer</w:t>
      </w:r>
    </w:p>
    <w:p>
      <w:pPr>
        <w:spacing w:after="0" w:line="200" w:lineRule="exact"/>
        <w:rPr>
          <w:sz w:val="20"/>
          <w:szCs w:val="20"/>
          <w:color w:val="auto"/>
        </w:rPr>
      </w:pPr>
    </w:p>
    <w:p>
      <w:pPr>
        <w:spacing w:after="0" w:line="328" w:lineRule="exact"/>
        <w:rPr>
          <w:sz w:val="20"/>
          <w:szCs w:val="20"/>
          <w:color w:val="auto"/>
        </w:rPr>
      </w:pPr>
    </w:p>
    <w:tbl>
      <w:tblPr>
        <w:tblLayout w:type="fixed"/>
        <w:tblInd w:w="5060" w:type="dxa"/>
        <w:tblCellMar>
          <w:top w:w="0" w:type="dxa"/>
          <w:left w:w="0" w:type="dxa"/>
          <w:bottom w:w="0" w:type="dxa"/>
          <w:right w:w="0" w:type="dxa"/>
        </w:tblCellMar>
      </w:tblP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200" w:lineRule="exact"/>
        <w:rPr>
          <w:sz w:val="20"/>
          <w:szCs w:val="20"/>
          <w:color w:val="auto"/>
        </w:rPr>
      </w:pPr>
    </w:p>
    <w:p>
      <w:pPr>
        <w:spacing w:after="0" w:line="3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GUARANTORS</w:t>
      </w:r>
    </w:p>
    <w:p>
      <w:pPr>
        <w:spacing w:after="0" w:line="2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CALIFORNIA RESOURCES ELK HILLS, LLC</w:t>
      </w:r>
    </w:p>
    <w:p>
      <w:pPr>
        <w:spacing w:after="0" w:line="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CALIFORNIA RESOURCES REAL ESTATE VENTURES, LLC</w:t>
      </w:r>
    </w:p>
    <w:p>
      <w:pPr>
        <w:spacing w:after="0" w:line="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CALIFORNIA RESOURCES ROYALTY HOLDINGS, LLC</w:t>
      </w:r>
    </w:p>
    <w:p>
      <w:pPr>
        <w:spacing w:after="0" w:line="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CRC CONSTRUCTION SERVICES, LLC</w:t>
      </w:r>
    </w:p>
    <w:p>
      <w:pPr>
        <w:spacing w:after="0" w:line="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CRC SERVICES, LLC</w:t>
      </w:r>
    </w:p>
    <w:p>
      <w:pPr>
        <w:spacing w:after="0" w:line="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SOCAL HOLDING, LLC</w:t>
      </w:r>
    </w:p>
    <w:p>
      <w:pPr>
        <w:spacing w:after="0" w:line="302" w:lineRule="exact"/>
        <w:rPr>
          <w:sz w:val="20"/>
          <w:szCs w:val="20"/>
          <w:color w:val="auto"/>
        </w:rPr>
      </w:pPr>
    </w:p>
    <w:tbl>
      <w:tblPr>
        <w:tblLayout w:type="fixed"/>
        <w:tblInd w:w="5060" w:type="dxa"/>
        <w:tblCellMar>
          <w:top w:w="0" w:type="dxa"/>
          <w:left w:w="0" w:type="dxa"/>
          <w:bottom w:w="0" w:type="dxa"/>
          <w:right w:w="0" w:type="dxa"/>
        </w:tblCellMar>
      </w:tblPr>
      <w:tr>
        <w:trPr>
          <w:trHeight w:val="266"/>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CALIFORNIA RESOURCES CORPORATION, as sole member</w:t>
            </w:r>
          </w:p>
        </w:tc>
      </w:tr>
      <w:tr>
        <w:trPr>
          <w:trHeight w:val="512"/>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c>
          <w:tcPr>
            <w:tcW w:w="620" w:type="dxa"/>
            <w:vAlign w:val="bottom"/>
          </w:tcPr>
          <w:p>
            <w:pPr>
              <w:spacing w:after="0"/>
              <w:rPr>
                <w:sz w:val="19"/>
                <w:szCs w:val="19"/>
                <w:color w:val="auto"/>
              </w:rPr>
            </w:pP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458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r>
        <w:trPr>
          <w:trHeight w:val="587"/>
        </w:trPr>
        <w:tc>
          <w:tcPr>
            <w:tcW w:w="59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CALIFORNIA RESOURCES WILMINGTON, LLC</w:t>
            </w:r>
          </w:p>
        </w:tc>
      </w:tr>
      <w:tr>
        <w:trPr>
          <w:trHeight w:val="530"/>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CALIFORNIA RESOURCES TIDELANDS, INC., as sole member</w:t>
            </w:r>
          </w:p>
        </w:tc>
      </w:tr>
      <w:tr>
        <w:trPr>
          <w:trHeight w:val="512"/>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c>
          <w:tcPr>
            <w:tcW w:w="620" w:type="dxa"/>
            <w:vAlign w:val="bottom"/>
          </w:tcPr>
          <w:p>
            <w:pPr>
              <w:spacing w:after="0"/>
              <w:rPr>
                <w:sz w:val="19"/>
                <w:szCs w:val="19"/>
                <w:color w:val="auto"/>
              </w:rPr>
            </w:pP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458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i w:val="1"/>
          <w:iCs w:val="1"/>
          <w:color w:val="auto"/>
        </w:rPr>
        <w:t>[Signature Page to Indenture]</w:t>
      </w:r>
    </w:p>
    <w:p>
      <w:pPr>
        <w:sectPr>
          <w:pgSz w:w="11900" w:h="16838" w:orient="portrait"/>
          <w:cols w:equalWidth="0" w:num="1">
            <w:col w:w="11000"/>
          </w:cols>
          <w:pgMar w:left="320" w:top="1389" w:right="579" w:bottom="1440" w:gutter="0" w:footer="0" w:header="0"/>
        </w:sectPr>
      </w:pPr>
    </w:p>
    <w:bookmarkStart w:id="124" w:name="page125"/>
    <w:bookmarkEnd w:id="124"/>
    <w:p>
      <w:pPr>
        <w:ind w:left="3940"/>
        <w:spacing w:after="0"/>
        <w:rPr>
          <w:sz w:val="20"/>
          <w:szCs w:val="20"/>
          <w:color w:val="auto"/>
        </w:rPr>
      </w:pPr>
      <w:r>
        <w:rPr>
          <w:rFonts w:ascii="Times New Roman" w:cs="Times New Roman" w:eastAsia="Times New Roman" w:hAnsi="Times New Roman"/>
          <w:sz w:val="19"/>
          <w:szCs w:val="19"/>
          <w:b w:val="1"/>
          <w:bCs w:val="1"/>
          <w:color w:val="auto"/>
        </w:rPr>
        <w:t>CALIFORNIA HEAVY OIL, INC.</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34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CALIFORNIA RESOURCES PETROLEUM CORPORATION</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CALIFORNIA RESOURCES PRODUCTION CORPORATION</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r>
        <w:trPr>
          <w:trHeight w:val="600"/>
        </w:trPr>
        <w:tc>
          <w:tcPr>
            <w:tcW w:w="53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CRC MARKETING, INC.</w:t>
            </w:r>
          </w:p>
        </w:tc>
      </w:tr>
      <w:tr>
        <w:trPr>
          <w:trHeight w:val="512"/>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34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SOUTHERN SAN JOAQUIN PRODUCTION, INC.</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Francisco J. Leon</w:t>
            </w:r>
          </w:p>
        </w:tc>
      </w:tr>
      <w:tr>
        <w:trPr>
          <w:trHeight w:val="195"/>
        </w:trPr>
        <w:tc>
          <w:tcPr>
            <w:tcW w:w="640" w:type="dxa"/>
            <w:vAlign w:val="bottom"/>
          </w:tcPr>
          <w:p>
            <w:pPr>
              <w:spacing w:after="0"/>
              <w:rPr>
                <w:sz w:val="16"/>
                <w:szCs w:val="16"/>
                <w:color w:val="auto"/>
              </w:rPr>
            </w:pPr>
          </w:p>
        </w:tc>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ind w:left="18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i w:val="1"/>
          <w:iCs w:val="1"/>
          <w:color w:val="auto"/>
        </w:rPr>
        <w:t>[Signature Page to Indenture]</w:t>
      </w:r>
    </w:p>
    <w:p>
      <w:pPr>
        <w:sectPr>
          <w:pgSz w:w="11900" w:h="16838" w:orient="portrait"/>
          <w:cols w:equalWidth="0" w:num="1">
            <w:col w:w="9320"/>
          </w:cols>
          <w:pgMar w:left="1440" w:top="1438" w:right="1139" w:bottom="1440" w:gutter="0" w:footer="0" w:header="0"/>
        </w:sectPr>
      </w:pPr>
    </w:p>
    <w:bookmarkStart w:id="125" w:name="page126"/>
    <w:bookmarkEnd w:id="125"/>
    <w:p>
      <w:pPr>
        <w:ind w:left="3940"/>
        <w:spacing w:after="0"/>
        <w:rPr>
          <w:sz w:val="20"/>
          <w:szCs w:val="20"/>
          <w:color w:val="auto"/>
        </w:rPr>
      </w:pPr>
      <w:r>
        <w:rPr>
          <w:rFonts w:ascii="Times New Roman" w:cs="Times New Roman" w:eastAsia="Times New Roman" w:hAnsi="Times New Roman"/>
          <w:sz w:val="19"/>
          <w:szCs w:val="19"/>
          <w:b w:val="1"/>
          <w:bCs w:val="1"/>
          <w:color w:val="auto"/>
        </w:rPr>
        <w:t>CALIFORNIA RESOURCES COLES LEVEE, LLC</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66"/>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CALIFORNIA RESOURCES ELK HILLS, LLC, as sole member</w:t>
            </w:r>
          </w:p>
        </w:tc>
      </w:tr>
      <w:tr>
        <w:trPr>
          <w:trHeight w:val="512"/>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Francisco J. Leon</w:t>
            </w:r>
          </w:p>
        </w:tc>
        <w:tc>
          <w:tcPr>
            <w:tcW w:w="480" w:type="dxa"/>
            <w:vAlign w:val="bottom"/>
          </w:tcPr>
          <w:p>
            <w:pPr>
              <w:spacing w:after="0"/>
              <w:rPr>
                <w:sz w:val="19"/>
                <w:szCs w:val="19"/>
                <w:color w:val="auto"/>
              </w:rPr>
            </w:pPr>
          </w:p>
        </w:tc>
      </w:tr>
      <w:tr>
        <w:trPr>
          <w:trHeight w:val="195"/>
        </w:trPr>
        <w:tc>
          <w:tcPr>
            <w:tcW w:w="640" w:type="dxa"/>
            <w:vAlign w:val="bottom"/>
          </w:tcPr>
          <w:p>
            <w:pPr>
              <w:spacing w:after="0"/>
              <w:rPr>
                <w:sz w:val="16"/>
                <w:szCs w:val="16"/>
                <w:color w:val="auto"/>
              </w:rPr>
            </w:pPr>
          </w:p>
        </w:tc>
        <w:tc>
          <w:tcPr>
            <w:tcW w:w="74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442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Financial Officer</w:t>
            </w:r>
          </w:p>
        </w:tc>
      </w:tr>
      <w:tr>
        <w:trPr>
          <w:trHeight w:val="600"/>
        </w:trPr>
        <w:tc>
          <w:tcPr>
            <w:tcW w:w="58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CALIFORNIA RESOURCES TIDELANDS, INC.</w:t>
            </w:r>
          </w:p>
        </w:tc>
      </w:tr>
      <w:tr>
        <w:trPr>
          <w:trHeight w:val="512"/>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Francisco J. Leon</w:t>
            </w:r>
          </w:p>
        </w:tc>
        <w:tc>
          <w:tcPr>
            <w:tcW w:w="480" w:type="dxa"/>
            <w:vAlign w:val="bottom"/>
          </w:tcPr>
          <w:p>
            <w:pPr>
              <w:spacing w:after="0"/>
              <w:rPr>
                <w:sz w:val="19"/>
                <w:szCs w:val="19"/>
                <w:color w:val="auto"/>
              </w:rPr>
            </w:pPr>
          </w:p>
        </w:tc>
      </w:tr>
      <w:tr>
        <w:trPr>
          <w:trHeight w:val="195"/>
        </w:trPr>
        <w:tc>
          <w:tcPr>
            <w:tcW w:w="640" w:type="dxa"/>
            <w:vAlign w:val="bottom"/>
          </w:tcPr>
          <w:p>
            <w:pPr>
              <w:spacing w:after="0"/>
              <w:rPr>
                <w:sz w:val="16"/>
                <w:szCs w:val="16"/>
                <w:color w:val="auto"/>
              </w:rPr>
            </w:pPr>
          </w:p>
        </w:tc>
        <w:tc>
          <w:tcPr>
            <w:tcW w:w="74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442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Financial Officer</w:t>
            </w:r>
          </w:p>
        </w:tc>
      </w:tr>
      <w:tr>
        <w:trPr>
          <w:trHeight w:val="587"/>
        </w:trPr>
        <w:tc>
          <w:tcPr>
            <w:tcW w:w="58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CALIFORNIA RESOURCES COLES LEVEE, L.P.</w:t>
            </w:r>
          </w:p>
        </w:tc>
      </w:tr>
      <w:tr>
        <w:trPr>
          <w:trHeight w:val="489"/>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CALIFORNIA RESOURCES COLES LEVEE, LLC., as general</w:t>
            </w:r>
          </w:p>
        </w:tc>
      </w:tr>
      <w:tr>
        <w:trPr>
          <w:trHeight w:val="253"/>
        </w:trPr>
        <w:tc>
          <w:tcPr>
            <w:tcW w:w="6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partner</w:t>
            </w:r>
          </w:p>
        </w:tc>
        <w:tc>
          <w:tcPr>
            <w:tcW w:w="39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512"/>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51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 Francisco J. Leon</w:t>
            </w:r>
          </w:p>
        </w:tc>
      </w:tr>
      <w:tr>
        <w:trPr>
          <w:trHeight w:val="222"/>
        </w:trPr>
        <w:tc>
          <w:tcPr>
            <w:tcW w:w="640" w:type="dxa"/>
            <w:vAlign w:val="bottom"/>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9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Francisco J. Leon</w:t>
            </w:r>
          </w:p>
        </w:tc>
        <w:tc>
          <w:tcPr>
            <w:tcW w:w="480" w:type="dxa"/>
            <w:vAlign w:val="bottom"/>
          </w:tcPr>
          <w:p>
            <w:pPr>
              <w:spacing w:after="0"/>
              <w:rPr>
                <w:sz w:val="19"/>
                <w:szCs w:val="19"/>
                <w:color w:val="auto"/>
              </w:rPr>
            </w:pPr>
          </w:p>
        </w:tc>
      </w:tr>
      <w:tr>
        <w:trPr>
          <w:trHeight w:val="195"/>
        </w:trPr>
        <w:tc>
          <w:tcPr>
            <w:tcW w:w="640" w:type="dxa"/>
            <w:vAlign w:val="bottom"/>
          </w:tcPr>
          <w:p>
            <w:pPr>
              <w:spacing w:after="0"/>
              <w:rPr>
                <w:sz w:val="16"/>
                <w:szCs w:val="16"/>
                <w:color w:val="auto"/>
              </w:rPr>
            </w:pPr>
          </w:p>
        </w:tc>
        <w:tc>
          <w:tcPr>
            <w:tcW w:w="740" w:type="dxa"/>
            <w:vAlign w:val="bottom"/>
          </w:tcPr>
          <w:p>
            <w:pPr>
              <w:ind w:left="20"/>
              <w:spacing w:after="0" w:line="195" w:lineRule="exact"/>
              <w:rPr>
                <w:sz w:val="20"/>
                <w:szCs w:val="20"/>
                <w:color w:val="auto"/>
              </w:rPr>
            </w:pPr>
            <w:r>
              <w:rPr>
                <w:rFonts w:ascii="Times New Roman" w:cs="Times New Roman" w:eastAsia="Times New Roman" w:hAnsi="Times New Roman"/>
                <w:sz w:val="19"/>
                <w:szCs w:val="19"/>
                <w:color w:val="auto"/>
              </w:rPr>
              <w:t>Title:</w:t>
            </w:r>
          </w:p>
        </w:tc>
        <w:tc>
          <w:tcPr>
            <w:tcW w:w="442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9"/>
                <w:szCs w:val="19"/>
                <w:color w:val="auto"/>
              </w:rPr>
              <w:t>Executive Vice President and Chief</w:t>
            </w:r>
          </w:p>
        </w:tc>
      </w:tr>
      <w:tr>
        <w:trPr>
          <w:trHeight w:val="253"/>
        </w:trPr>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i w:val="1"/>
          <w:iCs w:val="1"/>
          <w:color w:val="auto"/>
        </w:rPr>
        <w:t>[Signature Page to Indenture]</w:t>
      </w:r>
    </w:p>
    <w:p>
      <w:pPr>
        <w:sectPr>
          <w:pgSz w:w="11900" w:h="16838" w:orient="portrait"/>
          <w:cols w:equalWidth="0" w:num="1">
            <w:col w:w="9740"/>
          </w:cols>
          <w:pgMar w:left="1440" w:top="1438" w:right="719" w:bottom="1440" w:gutter="0" w:footer="0" w:header="0"/>
        </w:sectPr>
      </w:pPr>
    </w:p>
    <w:bookmarkStart w:id="126" w:name="page127"/>
    <w:bookmarkEnd w:id="126"/>
    <w:p>
      <w:pPr>
        <w:ind w:left="3600"/>
        <w:spacing w:after="0"/>
        <w:rPr>
          <w:sz w:val="20"/>
          <w:szCs w:val="20"/>
          <w:color w:val="auto"/>
        </w:rPr>
      </w:pPr>
      <w:r>
        <w:rPr>
          <w:rFonts w:ascii="Times New Roman" w:cs="Times New Roman" w:eastAsia="Times New Roman" w:hAnsi="Times New Roman"/>
          <w:sz w:val="19"/>
          <w:szCs w:val="19"/>
          <w:b w:val="1"/>
          <w:bCs w:val="1"/>
          <w:color w:val="auto"/>
        </w:rPr>
        <w:t>WILMINGTON TRUST, NATIONAL ASSOCIATION,</w:t>
      </w:r>
    </w:p>
    <w:p>
      <w:pPr>
        <w:spacing w:after="0" w:line="5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as Trustee</w:t>
      </w:r>
    </w:p>
    <w:p>
      <w:pPr>
        <w:spacing w:after="0" w:line="298" w:lineRule="exact"/>
        <w:rPr>
          <w:sz w:val="20"/>
          <w:szCs w:val="20"/>
          <w:color w:val="auto"/>
        </w:rPr>
      </w:pPr>
    </w:p>
    <w:tbl>
      <w:tblPr>
        <w:tblLayout w:type="fixed"/>
        <w:tblInd w:w="3580" w:type="dxa"/>
        <w:tblCellMar>
          <w:top w:w="0" w:type="dxa"/>
          <w:left w:w="0" w:type="dxa"/>
          <w:bottom w:w="0" w:type="dxa"/>
          <w:right w:w="0" w:type="dxa"/>
        </w:tblCellMar>
      </w:tblPr>
      <w:tr>
        <w:trPr>
          <w:trHeight w:val="248"/>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/s/ Hallie E. Field</w:t>
            </w:r>
          </w:p>
        </w:tc>
      </w:tr>
      <w:tr>
        <w:trPr>
          <w:trHeight w:val="222"/>
        </w:trPr>
        <w:tc>
          <w:tcPr>
            <w:tcW w:w="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9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Hallie E. Field</w:t>
            </w:r>
          </w:p>
        </w:tc>
      </w:tr>
      <w:tr>
        <w:trPr>
          <w:trHeight w:val="253"/>
        </w:trPr>
        <w:tc>
          <w:tcPr>
            <w:tcW w:w="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9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i w:val="1"/>
          <w:iCs w:val="1"/>
          <w:color w:val="auto"/>
        </w:rPr>
        <w:t>[Signature Page to Indenture]</w:t>
      </w:r>
    </w:p>
    <w:p>
      <w:pPr>
        <w:sectPr>
          <w:pgSz w:w="11900" w:h="16838" w:orient="portrait"/>
          <w:cols w:equalWidth="0" w:num="1">
            <w:col w:w="9260"/>
          </w:cols>
          <w:pgMar w:left="1440" w:top="1438" w:right="11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color w:val="auto"/>
        </w:rPr>
        <w:t>EXHIBIT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9" w:lineRule="exact"/>
        <w:rPr>
          <w:sz w:val="20"/>
          <w:szCs w:val="20"/>
          <w:color w:val="auto"/>
        </w:rPr>
      </w:pPr>
    </w:p>
    <w:p>
      <w:pPr>
        <w:ind w:right="3800"/>
        <w:spacing w:after="0" w:line="464" w:lineRule="auto"/>
        <w:rPr>
          <w:sz w:val="20"/>
          <w:szCs w:val="20"/>
          <w:color w:val="auto"/>
        </w:rPr>
      </w:pPr>
      <w:r>
        <w:rPr>
          <w:rFonts w:ascii="Times New Roman" w:cs="Times New Roman" w:eastAsia="Times New Roman" w:hAnsi="Times New Roman"/>
          <w:sz w:val="19"/>
          <w:szCs w:val="19"/>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40"/>
          </w:cols>
          <w:pgMar w:left="320" w:top="138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48"/>
        </w:trPr>
        <w:tc>
          <w:tcPr>
            <w:tcW w:w="220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jc w:val="center"/>
              <w:ind w:right="2083"/>
              <w:spacing w:after="0"/>
              <w:rPr>
                <w:sz w:val="20"/>
                <w:szCs w:val="20"/>
                <w:color w:val="auto"/>
              </w:rPr>
            </w:pPr>
            <w:r>
              <w:rPr>
                <w:rFonts w:ascii="Times New Roman" w:cs="Times New Roman" w:eastAsia="Times New Roman" w:hAnsi="Times New Roman"/>
                <w:sz w:val="19"/>
                <w:szCs w:val="19"/>
                <w:color w:val="auto"/>
              </w:rPr>
              <w:t>[Face of Note]</w:t>
            </w:r>
          </w:p>
        </w:tc>
      </w:tr>
      <w:tr>
        <w:trPr>
          <w:trHeight w:val="275"/>
        </w:trPr>
        <w:tc>
          <w:tcPr>
            <w:tcW w:w="2200" w:type="dxa"/>
            <w:vAlign w:val="bottom"/>
          </w:tcPr>
          <w:p>
            <w:pPr>
              <w:spacing w:after="0"/>
              <w:rPr>
                <w:sz w:val="23"/>
                <w:szCs w:val="23"/>
                <w:color w:val="auto"/>
              </w:rPr>
            </w:pPr>
          </w:p>
        </w:tc>
        <w:tc>
          <w:tcPr>
            <w:tcW w:w="9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CUSIP [ ]</w:t>
            </w:r>
          </w:p>
        </w:tc>
      </w:tr>
      <w:tr>
        <w:trPr>
          <w:trHeight w:val="212"/>
        </w:trPr>
        <w:tc>
          <w:tcPr>
            <w:tcW w:w="2200" w:type="dxa"/>
            <w:vAlign w:val="bottom"/>
          </w:tcPr>
          <w:p>
            <w:pPr>
              <w:spacing w:after="0"/>
              <w:rPr>
                <w:sz w:val="18"/>
                <w:szCs w:val="18"/>
                <w:color w:val="auto"/>
              </w:rPr>
            </w:pPr>
          </w:p>
        </w:tc>
        <w:tc>
          <w:tcPr>
            <w:tcW w:w="904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auto"/>
              </w:rPr>
              <w:t>ISIN [ ][1]</w:t>
            </w:r>
          </w:p>
        </w:tc>
      </w:tr>
      <w:tr>
        <w:trPr>
          <w:trHeight w:val="253"/>
        </w:trPr>
        <w:tc>
          <w:tcPr>
            <w:tcW w:w="2200" w:type="dxa"/>
            <w:vAlign w:val="bottom"/>
          </w:tcPr>
          <w:p>
            <w:pPr>
              <w:spacing w:after="0"/>
              <w:rPr>
                <w:sz w:val="22"/>
                <w:szCs w:val="22"/>
                <w:color w:val="auto"/>
              </w:rPr>
            </w:pPr>
          </w:p>
        </w:tc>
        <w:tc>
          <w:tcPr>
            <w:tcW w:w="9040" w:type="dxa"/>
            <w:vAlign w:val="bottom"/>
          </w:tcPr>
          <w:p>
            <w:pPr>
              <w:jc w:val="center"/>
              <w:ind w:right="2083"/>
              <w:spacing w:after="0"/>
              <w:rPr>
                <w:sz w:val="20"/>
                <w:szCs w:val="20"/>
                <w:color w:val="auto"/>
              </w:rPr>
            </w:pPr>
            <w:r>
              <w:rPr>
                <w:rFonts w:ascii="Times New Roman" w:cs="Times New Roman" w:eastAsia="Times New Roman" w:hAnsi="Times New Roman"/>
                <w:sz w:val="19"/>
                <w:szCs w:val="19"/>
                <w:color w:val="auto"/>
              </w:rPr>
              <w:t>7.125% Senior Notes due 2026</w:t>
            </w:r>
          </w:p>
        </w:tc>
      </w:tr>
      <w:tr>
        <w:trPr>
          <w:trHeight w:val="649"/>
        </w:trPr>
        <w:tc>
          <w:tcPr>
            <w:tcW w:w="2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No. ___</w:t>
            </w:r>
          </w:p>
        </w:tc>
        <w:tc>
          <w:tcPr>
            <w:tcW w:w="9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w:t>
            </w:r>
          </w:p>
        </w:tc>
      </w:tr>
      <w:tr>
        <w:trPr>
          <w:trHeight w:val="331"/>
        </w:trPr>
        <w:tc>
          <w:tcPr>
            <w:tcW w:w="2200" w:type="dxa"/>
            <w:vAlign w:val="bottom"/>
          </w:tcPr>
          <w:p>
            <w:pPr>
              <w:spacing w:after="0"/>
              <w:rPr>
                <w:sz w:val="24"/>
                <w:szCs w:val="24"/>
                <w:color w:val="auto"/>
              </w:rPr>
            </w:pPr>
          </w:p>
        </w:tc>
        <w:tc>
          <w:tcPr>
            <w:tcW w:w="9040" w:type="dxa"/>
            <w:vAlign w:val="bottom"/>
          </w:tcPr>
          <w:p>
            <w:pPr>
              <w:jc w:val="center"/>
              <w:ind w:right="2103"/>
              <w:spacing w:after="0"/>
              <w:rPr>
                <w:sz w:val="20"/>
                <w:szCs w:val="20"/>
                <w:color w:val="auto"/>
              </w:rPr>
            </w:pPr>
            <w:r>
              <w:rPr>
                <w:rFonts w:ascii="Times New Roman" w:cs="Times New Roman" w:eastAsia="Times New Roman" w:hAnsi="Times New Roman"/>
                <w:sz w:val="19"/>
                <w:szCs w:val="19"/>
                <w:color w:val="auto"/>
              </w:rPr>
              <w:t>CALIFORNIA RESOURCES CORPORATION</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or registered assigns, the principal sum of _______________________ DOLLARS [or such greater or lesser amount as may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indicated on the attached Schedule of Increases or Decreases of Interests in the Global Note] on February 1,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Payment Dates: February 1 and August 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Record Dates: January 15 and July 15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w:t>
      </w:r>
    </w:p>
    <w:p>
      <w:pPr>
        <w:spacing w:after="0" w:line="20" w:lineRule="exact"/>
        <w:rPr>
          <w:sz w:val="20"/>
          <w:szCs w:val="20"/>
          <w:color w:val="auto"/>
        </w:rPr>
      </w:pPr>
    </w:p>
    <w:p>
      <w:pPr>
        <w:ind w:left="280" w:hanging="274"/>
        <w:spacing w:after="0"/>
        <w:tabs>
          <w:tab w:leader="none" w:pos="28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144A CUSIP: 13057Q AH0 / 144A ISIN: US13057QAH02; Reg S CUSIP: U1303A AE6 / REG S ISIN: USU1303AAE65</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ind w:left="5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A-2</w:t>
      </w:r>
    </w:p>
    <w:p>
      <w:pPr>
        <w:sectPr>
          <w:pgSz w:w="11900" w:h="16838" w:orient="portrait"/>
          <w:cols w:equalWidth="0" w:num="1">
            <w:col w:w="11240"/>
          </w:cols>
          <w:pgMar w:left="320" w:top="142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color w:val="auto"/>
        </w:rPr>
        <w:t>Dated: January _____, 2021</w:t>
      </w:r>
    </w:p>
    <w:p>
      <w:pPr>
        <w:spacing w:after="0" w:line="1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17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________________________________</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w:t>
      </w:r>
    </w:p>
    <w:p>
      <w:pPr>
        <w:ind w:left="420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0139"/>
          </w:cols>
          <w:pgMar w:left="320" w:top="1389"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color w:val="auto"/>
        </w:rPr>
        <w:t>Certificate of Authentication: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is one of the Notes referred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within-mentioned Indenture: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Trustee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Authorized Signatory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9"/>
          <w:szCs w:val="19"/>
          <w:color w:val="auto"/>
        </w:rPr>
        <w:t>A-4</w:t>
      </w:r>
    </w:p>
    <w:p>
      <w:pPr>
        <w:sectPr>
          <w:pgSz w:w="11900" w:h="16838" w:orient="portrait"/>
          <w:cols w:equalWidth="0" w:num="1">
            <w:col w:w="10139"/>
          </w:cols>
          <w:pgMar w:left="320" w:top="1389" w:right="1440" w:bottom="1440" w:gutter="0" w:footer="0" w:header="0"/>
        </w:sectPr>
      </w:pPr>
    </w:p>
    <w:bookmarkStart w:id="131" w:name="page132"/>
    <w:bookmarkEnd w:id="131"/>
    <w:p>
      <w:pPr>
        <w:spacing w:after="0" w:line="14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9"/>
          <w:szCs w:val="19"/>
          <w:color w:val="auto"/>
        </w:rPr>
        <w:t>[Reverse of Note]</w:t>
      </w:r>
    </w:p>
    <w:p>
      <w:pPr>
        <w:spacing w:after="0" w:line="17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9"/>
          <w:szCs w:val="19"/>
          <w:color w:val="auto"/>
        </w:rPr>
        <w:t>7.125% Senior Notes due 2026</w:t>
      </w:r>
    </w:p>
    <w:p>
      <w:pPr>
        <w:spacing w:after="0" w:line="19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9"/>
          <w:szCs w:val="19"/>
          <w:color w:val="auto"/>
        </w:rPr>
        <w:t>Capitalized terms used herein have the meanings assigned to them in the Indenture referred to below unless otherwise indicated.</w:t>
      </w:r>
    </w:p>
    <w:p>
      <w:pPr>
        <w:spacing w:after="0" w:line="190" w:lineRule="exact"/>
        <w:rPr>
          <w:sz w:val="20"/>
          <w:szCs w:val="20"/>
          <w:color w:val="auto"/>
        </w:rPr>
      </w:pPr>
    </w:p>
    <w:p>
      <w:pPr>
        <w:jc w:val="both"/>
        <w:ind w:firstLine="638"/>
        <w:spacing w:after="0" w:line="237" w:lineRule="auto"/>
        <w:tabs>
          <w:tab w:leader="none" w:pos="112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 California Resources Corporation, a Delaware corporation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promises to pay or cause to be paid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on the principal amount of this Note at a rate of 7.125% per annum. The Issuer will pay interest semi-annually in arrears on February 1 and August 1 of each year, or if any such day is not a Business Day, on the next succeeding Business Day (each, an “</w:t>
      </w: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Payment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the first Interest Payment Date shall be August 1, 2021. Interest on the Notes will accrue from the most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recent date to which interest has been paid or, if no interest has been paid, from the date of issuance;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The Issuer will pay interest (including post-petition interest in any proceeding under any Bankruptcy Law) on overdue principal and premium, if any, from time to time on demand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from time to time on demand at the same rate to the extent lawful.</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Interest will be computed on the basis of a 360-day year comprised of twelve 30-day months.</w:t>
      </w:r>
    </w:p>
    <w:p>
      <w:pPr>
        <w:spacing w:after="0" w:line="190" w:lineRule="exact"/>
        <w:rPr>
          <w:sz w:val="20"/>
          <w:szCs w:val="20"/>
          <w:color w:val="auto"/>
        </w:rPr>
      </w:pPr>
    </w:p>
    <w:p>
      <w:pPr>
        <w:jc w:val="both"/>
        <w:ind w:firstLine="638"/>
        <w:spacing w:after="0"/>
        <w:tabs>
          <w:tab w:leader="none" w:pos="107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Method of Payment</w:t>
      </w:r>
      <w:r>
        <w:rPr>
          <w:rFonts w:ascii="Times New Roman" w:cs="Times New Roman" w:eastAsia="Times New Roman" w:hAnsi="Times New Roman"/>
          <w:sz w:val="19"/>
          <w:szCs w:val="19"/>
          <w:color w:val="auto"/>
        </w:rPr>
        <w:t>. The Issuer will pay interest on the Notes (except defaulted interest) to the Persons who are registered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Holders of Notes at the close of business on the January 15 and July 15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Issuer maintained for such purpose within the continental United States, or, at the option of the Issuer, payment of interest, may be made by check mailed to the Holders at their addresses set forth in the register of Holders;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coin or currency of the United States of America as at the time of payment is legal tender for payment of public and private debts.</w:t>
      </w:r>
    </w:p>
    <w:p>
      <w:pPr>
        <w:spacing w:after="0" w:line="352" w:lineRule="exact"/>
        <w:rPr>
          <w:rFonts w:ascii="Times New Roman" w:cs="Times New Roman" w:eastAsia="Times New Roman" w:hAnsi="Times New Roman"/>
          <w:sz w:val="19"/>
          <w:szCs w:val="19"/>
          <w:color w:val="auto"/>
        </w:rPr>
      </w:pPr>
    </w:p>
    <w:p>
      <w:pPr>
        <w:jc w:val="both"/>
        <w:ind w:firstLine="638"/>
        <w:spacing w:after="0" w:line="252" w:lineRule="auto"/>
        <w:tabs>
          <w:tab w:leader="none" w:pos="105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Paying Agent and Registrar</w:t>
      </w:r>
      <w:r>
        <w:rPr>
          <w:rFonts w:ascii="Times New Roman" w:cs="Times New Roman" w:eastAsia="Times New Roman" w:hAnsi="Times New Roman"/>
          <w:sz w:val="19"/>
          <w:szCs w:val="19"/>
          <w:color w:val="auto"/>
        </w:rPr>
        <w:t>. Initially, Wilmington Trust, National Association, the Trustee under the Indenture, will act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Paying Agent and Registrar. The Issuer may change the Paying Agent or Registrar without notice to any Holder. The Issuer or any of its Subsidiaries may act as Paying Agent or Registrar.</w:t>
      </w:r>
    </w:p>
    <w:p>
      <w:pPr>
        <w:spacing w:after="0" w:line="133" w:lineRule="exact"/>
        <w:rPr>
          <w:rFonts w:ascii="Times New Roman" w:cs="Times New Roman" w:eastAsia="Times New Roman" w:hAnsi="Times New Roman"/>
          <w:sz w:val="19"/>
          <w:szCs w:val="19"/>
          <w:color w:val="auto"/>
        </w:rPr>
      </w:pPr>
    </w:p>
    <w:p>
      <w:pPr>
        <w:jc w:val="both"/>
        <w:ind w:firstLine="638"/>
        <w:spacing w:after="0" w:line="242" w:lineRule="auto"/>
        <w:tabs>
          <w:tab w:leader="none" w:pos="1149"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The Issuer issued the Notes under an Indenture dated as of January 20, 2021 (the “</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among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Issuer,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0600"/>
          </w:cols>
          <w:pgMar w:left="960" w:top="1440" w:right="339" w:bottom="1440" w:gutter="0" w:footer="0" w:header="0"/>
        </w:sectPr>
      </w:pPr>
    </w:p>
    <w:bookmarkStart w:id="132" w:name="page133"/>
    <w:bookmarkEnd w:id="132"/>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aggregate principal amount of Notes that may be issued thereunder.</w:t>
      </w:r>
    </w:p>
    <w:p>
      <w:pPr>
        <w:spacing w:after="0" w:line="177" w:lineRule="exact"/>
        <w:rPr>
          <w:sz w:val="20"/>
          <w:szCs w:val="20"/>
          <w:color w:val="auto"/>
        </w:rPr>
      </w:pPr>
    </w:p>
    <w:p>
      <w:pPr>
        <w:ind w:left="1060" w:hanging="422"/>
        <w:spacing w:after="0"/>
        <w:tabs>
          <w:tab w:leader="none" w:pos="1060"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Optional Redemption</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firstLine="1274"/>
        <w:spacing w:after="0" w:line="236" w:lineRule="auto"/>
        <w:tabs>
          <w:tab w:leader="none" w:pos="1740"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prior to February 1, 2023, the Issuer may on any one or more occasions redeem up to 35% of the aggregate principal amount of the Notes (including, without limitation, any Additional Notes) issued under the Indenture in an amount not greater than the net cash proceeds of one or more Equity Offerings by the Issuer, upon notice as provided in the Indenture, at a redemption price equal to 107.125% of the principal amount of the Notes redeemed, plus accrued and unpaid interest to, but excluding, the date of redemption (subject to the rights of Holders of Notes on the relevant record date to receive interest due on the relevant Interest Payment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 at least 65% of the aggregate principal amount of Notes originally issued on the Issue Date (excluding Notes held by the Issuer and its Subsidiaries) remains outstanding immediately after the occurrence of such redemption; and</w:t>
      </w:r>
    </w:p>
    <w:p>
      <w:pPr>
        <w:spacing w:after="0" w:line="2" w:lineRule="exact"/>
        <w:rPr>
          <w:rFonts w:ascii="Times New Roman" w:cs="Times New Roman" w:eastAsia="Times New Roman" w:hAnsi="Times New Roman"/>
          <w:sz w:val="19"/>
          <w:szCs w:val="19"/>
          <w:color w:val="auto"/>
        </w:rPr>
      </w:pPr>
    </w:p>
    <w:p>
      <w:pPr>
        <w:ind w:left="280" w:hanging="278"/>
        <w:spacing w:after="0"/>
        <w:tabs>
          <w:tab w:leader="none" w:pos="28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occurs within 180 days of the date of the closing of such Equity Offering.</w:t>
      </w:r>
    </w:p>
    <w:p>
      <w:pPr>
        <w:spacing w:after="0" w:line="170" w:lineRule="exact"/>
        <w:rPr>
          <w:rFonts w:ascii="Times New Roman" w:cs="Times New Roman" w:eastAsia="Times New Roman" w:hAnsi="Times New Roman"/>
          <w:sz w:val="19"/>
          <w:szCs w:val="19"/>
          <w:color w:val="auto"/>
        </w:rPr>
      </w:pPr>
    </w:p>
    <w:p>
      <w:pPr>
        <w:jc w:val="both"/>
        <w:ind w:firstLine="1274"/>
        <w:spacing w:after="0" w:line="245" w:lineRule="auto"/>
        <w:tabs>
          <w:tab w:leader="none" w:pos="1733"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prior to February 1, 2023, the Issuer may on any one or more occasions redeem all or a part of the Notes, upon notice as provided in the Indenture, at a redemption price equal to 100% of the principal amount of the Notes redeemed, plus the Applicable Premium as of, and accrued and unpaid interest to, but excluding, the date of redemption, subject to the rights of Holders of Notes on the relevant record date to receive interest due on the relevant Interest Payment Date.</w:t>
      </w:r>
    </w:p>
    <w:p>
      <w:pPr>
        <w:spacing w:after="0" w:line="141" w:lineRule="exact"/>
        <w:rPr>
          <w:rFonts w:ascii="Times New Roman" w:cs="Times New Roman" w:eastAsia="Times New Roman" w:hAnsi="Times New Roman"/>
          <w:sz w:val="19"/>
          <w:szCs w:val="19"/>
          <w:color w:val="auto"/>
        </w:rPr>
      </w:pPr>
    </w:p>
    <w:p>
      <w:pPr>
        <w:ind w:firstLine="1274"/>
        <w:spacing w:after="0" w:line="270" w:lineRule="auto"/>
        <w:tabs>
          <w:tab w:leader="none" w:pos="1714"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may redeem all (but not a portion of) the Notes when permitted by, and pursuant to the conditions in, Section 4.15(f) of the Indenture.</w:t>
      </w:r>
    </w:p>
    <w:p>
      <w:pPr>
        <w:spacing w:after="0" w:line="131" w:lineRule="exact"/>
        <w:rPr>
          <w:rFonts w:ascii="Times New Roman" w:cs="Times New Roman" w:eastAsia="Times New Roman" w:hAnsi="Times New Roman"/>
          <w:sz w:val="19"/>
          <w:szCs w:val="19"/>
          <w:color w:val="auto"/>
        </w:rPr>
      </w:pPr>
    </w:p>
    <w:p>
      <w:pPr>
        <w:ind w:left="1780" w:hanging="506"/>
        <w:spacing w:after="0"/>
        <w:tabs>
          <w:tab w:leader="none" w:pos="1780"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pursuant to the preceding paragraphs, the Notes will not be redeemable at the Issuer’s option prior to</w:t>
      </w:r>
    </w:p>
    <w:p>
      <w:pPr>
        <w:spacing w:after="0" w:line="1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February 1, 2023.</w:t>
      </w:r>
    </w:p>
    <w:p>
      <w:pPr>
        <w:spacing w:after="0" w:line="170" w:lineRule="exact"/>
        <w:rPr>
          <w:rFonts w:ascii="Times New Roman" w:cs="Times New Roman" w:eastAsia="Times New Roman" w:hAnsi="Times New Roman"/>
          <w:sz w:val="19"/>
          <w:szCs w:val="19"/>
          <w:color w:val="auto"/>
        </w:rPr>
      </w:pPr>
    </w:p>
    <w:p>
      <w:pPr>
        <w:jc w:val="both"/>
        <w:ind w:firstLine="1274"/>
        <w:spacing w:after="0" w:line="242" w:lineRule="auto"/>
        <w:tabs>
          <w:tab w:leader="none" w:pos="1739"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and after February 1, 2023, the Issuer may on any one or more occasions redeem all or a part of the Notes, upon notice as provided in the Indenture, at the redemption prices (expressed as percentages of principal amount) set forth below, plus accrued and unpaid interest on the Notes redeemed, to, but excluding, the applicable redemption date, subject to the rights of Holders of Notes on the relevant record date to receive interest on the relevant Interest Payment Date, if redeemed during the twelve-month period beginning on February 1 of the years indicated below:</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1"/>
              </w:rPr>
              <w:t>Year</w:t>
            </w:r>
          </w:p>
        </w:tc>
        <w:tc>
          <w:tcPr>
            <w:tcW w:w="868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Percentage</w:t>
            </w:r>
          </w:p>
        </w:tc>
      </w:tr>
      <w:tr>
        <w:trPr>
          <w:trHeight w:val="24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2023</w:t>
            </w:r>
          </w:p>
        </w:tc>
        <w:tc>
          <w:tcPr>
            <w:tcW w:w="8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103.563%</w:t>
            </w:r>
          </w:p>
        </w:tc>
      </w:tr>
      <w:tr>
        <w:trPr>
          <w:trHeight w:val="23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2024</w:t>
            </w:r>
          </w:p>
        </w:tc>
        <w:tc>
          <w:tcPr>
            <w:tcW w:w="8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101.781%</w:t>
            </w:r>
          </w:p>
        </w:tc>
      </w:tr>
      <w:tr>
        <w:trPr>
          <w:trHeight w:val="253"/>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2025 and thereafter</w:t>
            </w:r>
          </w:p>
        </w:tc>
        <w:tc>
          <w:tcPr>
            <w:tcW w:w="8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100.000%</w:t>
            </w:r>
          </w:p>
        </w:tc>
      </w:tr>
    </w:tbl>
    <w:p>
      <w:pPr>
        <w:spacing w:after="0" w:line="262" w:lineRule="exact"/>
        <w:rPr>
          <w:sz w:val="20"/>
          <w:szCs w:val="20"/>
          <w:color w:val="auto"/>
        </w:rPr>
      </w:pPr>
    </w:p>
    <w:p>
      <w:pPr>
        <w:ind w:left="1080" w:hanging="442"/>
        <w:spacing w:after="0"/>
        <w:tabs>
          <w:tab w:leader="none" w:pos="108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Mandatory Redemption. </w:t>
      </w:r>
      <w:r>
        <w:rPr>
          <w:rFonts w:ascii="Times New Roman" w:cs="Times New Roman" w:eastAsia="Times New Roman" w:hAnsi="Times New Roman"/>
          <w:sz w:val="19"/>
          <w:szCs w:val="19"/>
          <w:color w:val="auto"/>
        </w:rPr>
        <w:t>The Issuer is not required to make mandatory redemption or sinking fund payments with respect</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Notes.</w:t>
      </w:r>
    </w:p>
    <w:p>
      <w:pPr>
        <w:spacing w:after="0" w:line="155" w:lineRule="exact"/>
        <w:rPr>
          <w:rFonts w:ascii="Times New Roman" w:cs="Times New Roman" w:eastAsia="Times New Roman" w:hAnsi="Times New Roman"/>
          <w:sz w:val="19"/>
          <w:szCs w:val="19"/>
          <w:color w:val="auto"/>
        </w:rPr>
      </w:pPr>
    </w:p>
    <w:p>
      <w:pPr>
        <w:ind w:left="1060" w:hanging="422"/>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Repurchase at the Option of Holder.</w:t>
      </w:r>
    </w:p>
    <w:p>
      <w:pPr>
        <w:spacing w:after="0" w:line="194" w:lineRule="exact"/>
        <w:rPr>
          <w:rFonts w:ascii="Times New Roman" w:cs="Times New Roman" w:eastAsia="Times New Roman" w:hAnsi="Times New Roman"/>
          <w:sz w:val="19"/>
          <w:szCs w:val="19"/>
          <w:color w:val="auto"/>
        </w:rPr>
      </w:pPr>
    </w:p>
    <w:p>
      <w:pPr>
        <w:jc w:val="both"/>
        <w:ind w:firstLine="1274"/>
        <w:spacing w:after="0" w:line="251" w:lineRule="auto"/>
        <w:tabs>
          <w:tab w:leader="none" w:pos="1797"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there is a Change of Control Triggering Event, the Issuer will be required to make a cash tender offer (a “</w:t>
      </w:r>
      <w:r>
        <w:rPr>
          <w:rFonts w:ascii="Times New Roman" w:cs="Times New Roman" w:eastAsia="Times New Roman" w:hAnsi="Times New Roman"/>
          <w:sz w:val="19"/>
          <w:szCs w:val="19"/>
          <w:i w:val="1"/>
          <w:iCs w:val="1"/>
          <w:color w:val="auto"/>
        </w:rPr>
        <w:t>Change of Control Offer</w:t>
      </w:r>
      <w:r>
        <w:rPr>
          <w:rFonts w:ascii="Times New Roman" w:cs="Times New Roman" w:eastAsia="Times New Roman" w:hAnsi="Times New Roman"/>
          <w:sz w:val="19"/>
          <w:szCs w:val="19"/>
          <w:color w:val="auto"/>
        </w:rPr>
        <w:t>”) to each Holder to repurchase all or any part (equal to $2,000 or an integral multiple of $1,000 in excess thereof) of each Holder’s Notes at a purchase price in cash equal to 101% of the aggregate principal amount thereof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A-6</w:t>
      </w:r>
    </w:p>
    <w:p>
      <w:pPr>
        <w:sectPr>
          <w:pgSz w:w="11900" w:h="16838" w:orient="portrait"/>
          <w:cols w:equalWidth="0" w:num="1">
            <w:col w:w="10600"/>
          </w:cols>
          <w:pgMar w:left="960" w:top="1440" w:right="339" w:bottom="1440" w:gutter="0" w:footer="0" w:header="0"/>
        </w:sectPr>
      </w:pPr>
    </w:p>
    <w:bookmarkStart w:id="133" w:name="page134"/>
    <w:bookmarkEnd w:id="133"/>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accrued and unpaid interest thereon to, but excluding, the date of purchase, subject to the rights of Holders on the relevant record date to receive interest due on the relevant Interest Payment Date (the “</w:t>
      </w:r>
      <w:r>
        <w:rPr>
          <w:rFonts w:ascii="Times New Roman" w:cs="Times New Roman" w:eastAsia="Times New Roman" w:hAnsi="Times New Roman"/>
          <w:sz w:val="19"/>
          <w:szCs w:val="19"/>
          <w:i w:val="1"/>
          <w:iCs w:val="1"/>
          <w:color w:val="auto"/>
        </w:rPr>
        <w:t>Change of Control Payment</w:t>
      </w:r>
      <w:r>
        <w:rPr>
          <w:rFonts w:ascii="Times New Roman" w:cs="Times New Roman" w:eastAsia="Times New Roman" w:hAnsi="Times New Roman"/>
          <w:sz w:val="19"/>
          <w:szCs w:val="19"/>
          <w:color w:val="auto"/>
        </w:rPr>
        <w:t>”). Within 30 days following any Change of Control Triggering Event, the Issuer will mail a notice to each Holder (with a copy to the Trustee) setting forth the procedures governing the Change of Control Offer as required by the Indenture.</w:t>
      </w:r>
    </w:p>
    <w:p>
      <w:pPr>
        <w:spacing w:after="0" w:line="141" w:lineRule="exact"/>
        <w:rPr>
          <w:sz w:val="20"/>
          <w:szCs w:val="20"/>
          <w:color w:val="auto"/>
        </w:rPr>
      </w:pPr>
    </w:p>
    <w:p>
      <w:pPr>
        <w:jc w:val="both"/>
        <w:ind w:firstLine="1274"/>
        <w:spacing w:after="0" w:line="238" w:lineRule="auto"/>
        <w:tabs>
          <w:tab w:leader="none" w:pos="1782"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Issuer or a Restricted Subsidiary of the Issuer consummates any Asset Sales, the Issuer may, in certain circumstances described in the Indenture, be required to make an Asset Sale Offer to all Holders of Notes and all holders of other Indebtedness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Notes containing provisions similar to those set forth in the Indenture with respect to offers to purchase with the proceeds of sales of assets to purchase,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the maximum principal amount of Notes and such other </w:t>
      </w:r>
      <w:r>
        <w:rPr>
          <w:rFonts w:ascii="Times New Roman" w:cs="Times New Roman" w:eastAsia="Times New Roman" w:hAnsi="Times New Roman"/>
          <w:sz w:val="19"/>
          <w:szCs w:val="19"/>
          <w:i w:val="1"/>
          <w:iCs w:val="1"/>
          <w:color w:val="auto"/>
        </w:rPr>
        <w:t xml:space="preserve">pari passu </w:t>
      </w:r>
      <w:r>
        <w:rPr>
          <w:rFonts w:ascii="Times New Roman" w:cs="Times New Roman" w:eastAsia="Times New Roman" w:hAnsi="Times New Roman"/>
          <w:sz w:val="19"/>
          <w:szCs w:val="19"/>
          <w:color w:val="auto"/>
        </w:rPr>
        <w:t>Indebtedness that may be purchased, prepaid or redeemed out of the Excess Proceeds, as defined in the Indenture. Holders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Definitive Notes that are the subject of an offer to purchase will receive an Asset Sale Offer from the Issuer prior to any related purchase date and may elect to have such Notes purchased by completing the form entitled “</w:t>
      </w:r>
      <w:r>
        <w:rPr>
          <w:rFonts w:ascii="Times New Roman" w:cs="Times New Roman" w:eastAsia="Times New Roman" w:hAnsi="Times New Roman"/>
          <w:sz w:val="19"/>
          <w:szCs w:val="19"/>
          <w:i w:val="1"/>
          <w:iCs w:val="1"/>
          <w:color w:val="auto"/>
        </w:rPr>
        <w:t>Option of Holder to Elect Purchase</w:t>
      </w:r>
      <w:r>
        <w:rPr>
          <w:rFonts w:ascii="Times New Roman" w:cs="Times New Roman" w:eastAsia="Times New Roman" w:hAnsi="Times New Roman"/>
          <w:sz w:val="19"/>
          <w:szCs w:val="19"/>
          <w:color w:val="auto"/>
        </w:rPr>
        <w:t>” attached to the Notes.</w:t>
      </w:r>
    </w:p>
    <w:p>
      <w:pPr>
        <w:spacing w:after="0" w:line="159" w:lineRule="exact"/>
        <w:rPr>
          <w:rFonts w:ascii="Times New Roman" w:cs="Times New Roman" w:eastAsia="Times New Roman" w:hAnsi="Times New Roman"/>
          <w:sz w:val="19"/>
          <w:szCs w:val="19"/>
          <w:color w:val="auto"/>
        </w:rPr>
      </w:pPr>
    </w:p>
    <w:p>
      <w:pPr>
        <w:jc w:val="both"/>
        <w:ind w:firstLine="638"/>
        <w:spacing w:after="0"/>
        <w:tabs>
          <w:tab w:leader="none" w:pos="107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 of Redemption</w:t>
      </w:r>
      <w:r>
        <w:rPr>
          <w:rFonts w:ascii="Times New Roman" w:cs="Times New Roman" w:eastAsia="Times New Roman" w:hAnsi="Times New Roman"/>
          <w:sz w:val="19"/>
          <w:szCs w:val="19"/>
          <w:color w:val="auto"/>
        </w:rPr>
        <w:t>. At least 10 days but not more than 60 days before a redemption date, the Issuer will send or cause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be sent, by first class mail (or sent electronically if DTC is the recipient), a notice of redemption to each Holder whose Notes are to be redeemed at its registered address, except that redemption notices may be given more than 60 days prior to a redemption date if the notice is issued in connection with a defeasance of the Notes or a satisfaction and discharge of the Indenture pursuant to Article 8 or 11 thereof. Notes and portions of Notes selected will be in minimum amounts of $2,000 or integral multiples of $1,000 in excess thereof. Notice of redemption may be subject to satisfaction or waiver of conditions precedent, as more fully described in the Indenture.</w:t>
      </w:r>
    </w:p>
    <w:p>
      <w:pPr>
        <w:spacing w:after="0" w:line="159" w:lineRule="exact"/>
        <w:rPr>
          <w:rFonts w:ascii="Times New Roman" w:cs="Times New Roman" w:eastAsia="Times New Roman" w:hAnsi="Times New Roman"/>
          <w:sz w:val="19"/>
          <w:szCs w:val="19"/>
          <w:color w:val="auto"/>
        </w:rPr>
      </w:pPr>
    </w:p>
    <w:p>
      <w:pPr>
        <w:jc w:val="both"/>
        <w:ind w:firstLine="638"/>
        <w:spacing w:after="0"/>
        <w:tabs>
          <w:tab w:leader="none" w:pos="1083"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Denominations, Transfer, Exchange</w:t>
      </w:r>
      <w:r>
        <w:rPr>
          <w:rFonts w:ascii="Times New Roman" w:cs="Times New Roman" w:eastAsia="Times New Roman" w:hAnsi="Times New Roman"/>
          <w:sz w:val="19"/>
          <w:szCs w:val="19"/>
          <w:color w:val="auto"/>
        </w:rPr>
        <w:t>. The Notes are in registered form in minimum denominations of $2,000 and integral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similar governmental charges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next succeeding Interest Payment Date.</w:t>
      </w:r>
    </w:p>
    <w:p>
      <w:pPr>
        <w:spacing w:after="0" w:line="352" w:lineRule="exact"/>
        <w:rPr>
          <w:rFonts w:ascii="Times New Roman" w:cs="Times New Roman" w:eastAsia="Times New Roman" w:hAnsi="Times New Roman"/>
          <w:sz w:val="19"/>
          <w:szCs w:val="19"/>
          <w:color w:val="auto"/>
        </w:rPr>
      </w:pPr>
    </w:p>
    <w:p>
      <w:pPr>
        <w:ind w:firstLine="638"/>
        <w:spacing w:after="0" w:line="273" w:lineRule="auto"/>
        <w:tabs>
          <w:tab w:leader="none" w:pos="124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Persons Deemed Owners</w:t>
      </w:r>
      <w:r>
        <w:rPr>
          <w:rFonts w:ascii="Times New Roman" w:cs="Times New Roman" w:eastAsia="Times New Roman" w:hAnsi="Times New Roman"/>
          <w:sz w:val="19"/>
          <w:szCs w:val="19"/>
          <w:color w:val="auto"/>
        </w:rPr>
        <w:t>. The registered Holder of a Note may be treated as the owner of it for all purposes. Only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registered Holders have rights under the Indenture.</w:t>
      </w:r>
    </w:p>
    <w:p>
      <w:pPr>
        <w:spacing w:after="0" w:line="125" w:lineRule="exact"/>
        <w:rPr>
          <w:rFonts w:ascii="Times New Roman" w:cs="Times New Roman" w:eastAsia="Times New Roman" w:hAnsi="Times New Roman"/>
          <w:sz w:val="19"/>
          <w:szCs w:val="19"/>
          <w:color w:val="auto"/>
        </w:rPr>
      </w:pPr>
    </w:p>
    <w:p>
      <w:pPr>
        <w:jc w:val="both"/>
        <w:ind w:firstLine="638"/>
        <w:spacing w:after="0"/>
        <w:tabs>
          <w:tab w:leader="none" w:pos="1199"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Amendment, Supplement and Waiver</w:t>
      </w:r>
      <w:r>
        <w:rPr>
          <w:rFonts w:ascii="Times New Roman" w:cs="Times New Roman" w:eastAsia="Times New Roman" w:hAnsi="Times New Roman"/>
          <w:sz w:val="19"/>
          <w:szCs w:val="19"/>
          <w:color w:val="auto"/>
        </w:rPr>
        <w:t>. Subject to certain exceptions, the Indenture, the Notes or the Guarantees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amended or supplemented with the consent of the Holders of a majority in aggregate principal amount of the then outstanding Notes including Additional Notes, if any, voting as a single class, and any existing Default or Event of Default or compliance with any provision of the Indenture or the Notes or the Guarantees may be waived with the consent of the Holders of a majority in aggregate principal amount of the then outstanding Notes voting as a single class. Without the consent of any Holder of Notes, the Indenture, the Notes or the Guarantees may be amended or supplemented as provided in the Indenture.</w:t>
      </w:r>
    </w:p>
    <w:p>
      <w:pPr>
        <w:spacing w:after="0" w:line="159"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Defaults and Remedies</w:t>
      </w:r>
      <w:r>
        <w:rPr>
          <w:rFonts w:ascii="Times New Roman" w:cs="Times New Roman" w:eastAsia="Times New Roman" w:hAnsi="Times New Roman"/>
          <w:sz w:val="19"/>
          <w:szCs w:val="19"/>
          <w:color w:val="auto"/>
        </w:rPr>
        <w:t>. In the case of an Event of Default arising from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A-7</w:t>
      </w:r>
    </w:p>
    <w:p>
      <w:pPr>
        <w:sectPr>
          <w:pgSz w:w="11900" w:h="16838" w:orient="portrait"/>
          <w:cols w:equalWidth="0" w:num="1">
            <w:col w:w="10600"/>
          </w:cols>
          <w:pgMar w:left="960" w:top="1440" w:right="339" w:bottom="1440" w:gutter="0" w:footer="0" w:header="0"/>
        </w:sectPr>
      </w:pPr>
    </w:p>
    <w:bookmarkStart w:id="134" w:name="page135"/>
    <w:bookmarkEnd w:id="134"/>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events of bankruptcy or insolvency with respect to the Issuer as specified in the Indenture,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Holders of a majority in aggregate principal amount of the then outstanding Notes by notice to the Trustee may, on behalf of all the Holders, rescind an acceleration or waive an existing Default or Event of Default and its consequences under the Indenture, if the rescission would not conflict with a judgment or decree, except a continuing Default or Event of Default in the payment of principal of, premium on, if any, or interest on, the Notes or as otherwise specified in the Indenture.</w:t>
      </w:r>
    </w:p>
    <w:p>
      <w:pPr>
        <w:spacing w:after="0" w:line="149" w:lineRule="exact"/>
        <w:rPr>
          <w:sz w:val="20"/>
          <w:szCs w:val="20"/>
          <w:color w:val="auto"/>
        </w:rPr>
      </w:pPr>
    </w:p>
    <w:p>
      <w:pPr>
        <w:jc w:val="both"/>
        <w:ind w:firstLine="638"/>
        <w:spacing w:after="0" w:line="257" w:lineRule="auto"/>
        <w:tabs>
          <w:tab w:leader="none" w:pos="12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Trustee Dealings with Issuer</w:t>
      </w:r>
      <w:r>
        <w:rPr>
          <w:rFonts w:ascii="Times New Roman" w:cs="Times New Roman" w:eastAsia="Times New Roman" w:hAnsi="Times New Roman"/>
          <w:sz w:val="19"/>
          <w:szCs w:val="19"/>
          <w:color w:val="auto"/>
        </w:rPr>
        <w:t>. The Trustee, in its individual or any other capacity, may make loans to, accept deposits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from, and perform services for the Issuer or its Affiliates, and may otherwise deal with the Issuer or its Affiliates, as if it were not the Trustee.</w:t>
      </w:r>
    </w:p>
    <w:p>
      <w:pPr>
        <w:spacing w:after="0" w:line="366" w:lineRule="exact"/>
        <w:rPr>
          <w:rFonts w:ascii="Times New Roman" w:cs="Times New Roman" w:eastAsia="Times New Roman" w:hAnsi="Times New Roman"/>
          <w:sz w:val="19"/>
          <w:szCs w:val="19"/>
          <w:color w:val="auto"/>
        </w:rPr>
      </w:pPr>
    </w:p>
    <w:p>
      <w:pPr>
        <w:jc w:val="both"/>
        <w:ind w:firstLine="638"/>
        <w:spacing w:after="0" w:line="242" w:lineRule="auto"/>
        <w:tabs>
          <w:tab w:leader="none" w:pos="1273"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Recourse Against Others</w:t>
      </w:r>
      <w:r>
        <w:rPr>
          <w:rFonts w:ascii="Times New Roman" w:cs="Times New Roman" w:eastAsia="Times New Roman" w:hAnsi="Times New Roman"/>
          <w:sz w:val="19"/>
          <w:szCs w:val="19"/>
          <w:color w:val="auto"/>
        </w:rPr>
        <w:t>. No past, present or future director, officer, partner, employee, incorporator, manager,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 or unitholder or other owner of Capital Stock of the Issuer or any Guarantor, as such, will have any liability for any obligations of the Issuer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7"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Authentication</w:t>
      </w:r>
      <w:r>
        <w:rPr>
          <w:rFonts w:ascii="Times New Roman" w:cs="Times New Roman" w:eastAsia="Times New Roman" w:hAnsi="Times New Roman"/>
          <w:sz w:val="19"/>
          <w:szCs w:val="19"/>
          <w:color w:val="auto"/>
        </w:rPr>
        <w:t>. This Note will not be valid until authenticated by the manual signature of the Trustee or an authenticating</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w:t>
      </w:r>
    </w:p>
    <w:p>
      <w:pPr>
        <w:spacing w:after="0" w:line="155" w:lineRule="exact"/>
        <w:rPr>
          <w:rFonts w:ascii="Times New Roman" w:cs="Times New Roman" w:eastAsia="Times New Roman" w:hAnsi="Times New Roman"/>
          <w:sz w:val="19"/>
          <w:szCs w:val="19"/>
          <w:color w:val="auto"/>
        </w:rPr>
      </w:pPr>
    </w:p>
    <w:p>
      <w:pPr>
        <w:jc w:val="both"/>
        <w:ind w:firstLine="638"/>
        <w:spacing w:after="0" w:line="252" w:lineRule="auto"/>
        <w:tabs>
          <w:tab w:leader="none" w:pos="12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Abbreviations</w:t>
      </w:r>
      <w:r>
        <w:rPr>
          <w:rFonts w:ascii="Times New Roman" w:cs="Times New Roman" w:eastAsia="Times New Roman" w:hAnsi="Times New Roman"/>
          <w:sz w:val="19"/>
          <w:szCs w:val="19"/>
          <w:color w:val="auto"/>
        </w:rPr>
        <w:t>. Customary abbreviations may be used in the name of a Holder or an assignee, such as: TEN COM (=</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tenants in common), TEN ENT (= tenants by the entireties), JT TEN (= joint tenants with right of survivorship and not as tenants in common), CUST (= Custodian), and U/G/M/A (= Uniform Gifts to Minors Act).</w:t>
      </w:r>
    </w:p>
    <w:p>
      <w:pPr>
        <w:spacing w:after="0" w:line="146" w:lineRule="exact"/>
        <w:rPr>
          <w:rFonts w:ascii="Times New Roman" w:cs="Times New Roman" w:eastAsia="Times New Roman" w:hAnsi="Times New Roman"/>
          <w:sz w:val="19"/>
          <w:szCs w:val="19"/>
          <w:color w:val="auto"/>
        </w:rPr>
      </w:pPr>
    </w:p>
    <w:p>
      <w:pPr>
        <w:jc w:val="both"/>
        <w:ind w:firstLine="638"/>
        <w:spacing w:after="0" w:line="246" w:lineRule="auto"/>
        <w:tabs>
          <w:tab w:leader="none" w:pos="126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CUSIP Numbers</w:t>
      </w:r>
      <w:r>
        <w:rPr>
          <w:rFonts w:ascii="Times New Roman" w:cs="Times New Roman" w:eastAsia="Times New Roman" w:hAnsi="Times New Roman"/>
          <w:sz w:val="19"/>
          <w:szCs w:val="19"/>
          <w:color w:val="auto"/>
        </w:rPr>
        <w:t>. Pursuant to a recommendation promulgated by the Committee on Uniform Security Identification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0" w:lineRule="exact"/>
        <w:rPr>
          <w:rFonts w:ascii="Times New Roman" w:cs="Times New Roman" w:eastAsia="Times New Roman" w:hAnsi="Times New Roman"/>
          <w:sz w:val="19"/>
          <w:szCs w:val="19"/>
          <w:color w:val="auto"/>
        </w:rPr>
      </w:pPr>
    </w:p>
    <w:p>
      <w:pPr>
        <w:jc w:val="both"/>
        <w:ind w:firstLine="638"/>
        <w:spacing w:after="0" w:line="247" w:lineRule="auto"/>
        <w:tabs>
          <w:tab w:leader="none" w:pos="1472"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GOVERNING LAW. </w:t>
      </w:r>
      <w:r>
        <w:rPr>
          <w:rFonts w:ascii="Times New Roman" w:cs="Times New Roman" w:eastAsia="Times New Roman" w:hAnsi="Times New Roman"/>
          <w:sz w:val="19"/>
          <w:szCs w:val="19"/>
          <w:color w:val="auto"/>
        </w:rPr>
        <w:t>THE INDENTURE, THE NOTES AND THE GUARANTEES, AND ANY CLAIM,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CONTROVERSY OR DISPUTE ARISING UNDER OR RELATED TO THE INDENTURE, THE NOTES AND THE GUARANTEES,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A-8</w:t>
      </w:r>
    </w:p>
    <w:p>
      <w:pPr>
        <w:sectPr>
          <w:pgSz w:w="11900" w:h="16838" w:orient="portrait"/>
          <w:cols w:equalWidth="0" w:num="1">
            <w:col w:w="10600"/>
          </w:cols>
          <w:pgMar w:left="960" w:top="1440" w:right="339" w:bottom="1440" w:gutter="0" w:footer="0" w:header="0"/>
        </w:sectPr>
      </w:pPr>
    </w:p>
    <w:bookmarkStart w:id="135" w:name="page136"/>
    <w:bookmarkEnd w:id="135"/>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Issuer will furnish to any Holder upon written request and without charge a copy of the Indenture. Requests may be made 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27200 Tourney Road, Suite 200</w:t>
      </w:r>
    </w:p>
    <w:p>
      <w:pPr>
        <w:spacing w:after="0" w:line="232" w:lineRule="auto"/>
        <w:rPr>
          <w:sz w:val="20"/>
          <w:szCs w:val="20"/>
          <w:color w:val="auto"/>
        </w:rPr>
      </w:pPr>
      <w:r>
        <w:rPr>
          <w:rFonts w:ascii="Times New Roman" w:cs="Times New Roman" w:eastAsia="Times New Roman" w:hAnsi="Times New Roman"/>
          <w:sz w:val="19"/>
          <w:szCs w:val="19"/>
          <w:color w:val="auto"/>
        </w:rPr>
        <w:t>Santa Clarita, California 91355 Facsimile No.: (818) 661-3750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A-9</w:t>
      </w:r>
    </w:p>
    <w:p>
      <w:pPr>
        <w:sectPr>
          <w:pgSz w:w="11900" w:h="16838" w:orient="portrait"/>
          <w:cols w:equalWidth="0" w:num="1">
            <w:col w:w="10040"/>
          </w:cols>
          <w:pgMar w:left="960" w:top="1440" w:right="899" w:bottom="1440" w:gutter="0" w:footer="0" w:header="0"/>
        </w:sectPr>
      </w:pPr>
    </w:p>
    <w:bookmarkStart w:id="136" w:name="page137"/>
    <w:bookmarkEnd w:id="136"/>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ASSIGNMENT FORM</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To assign this Note, fill in the form below:</w:t>
      </w:r>
    </w:p>
    <w:p>
      <w:pPr>
        <w:spacing w:after="0" w:line="192" w:lineRule="exact"/>
        <w:rPr>
          <w:sz w:val="20"/>
          <w:szCs w:val="20"/>
          <w:color w:val="auto"/>
        </w:rPr>
      </w:pPr>
    </w:p>
    <w:p>
      <w:pPr>
        <w:ind w:left="240" w:hanging="234"/>
        <w:spacing w:after="0"/>
        <w:tabs>
          <w:tab w:leader="none" w:pos="24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(we) assign and transfer this Note to: _______________________________________________</w:t>
      </w:r>
    </w:p>
    <w:p>
      <w:pPr>
        <w:spacing w:after="0" w:line="15" w:lineRule="exact"/>
        <w:rPr>
          <w:rFonts w:ascii="Times New Roman" w:cs="Times New Roman" w:eastAsia="Times New Roman" w:hAnsi="Times New Roman"/>
          <w:sz w:val="19"/>
          <w:szCs w:val="19"/>
          <w:color w:val="auto"/>
        </w:rPr>
      </w:pPr>
    </w:p>
    <w:p>
      <w:pPr>
        <w:ind w:left="4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801370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633095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464820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296545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(Print or type assignee’s name, address and zip code)</w:t>
      </w:r>
    </w:p>
    <w:p>
      <w:pPr>
        <w:spacing w:after="0" w:line="192" w:lineRule="exact"/>
        <w:rPr>
          <w:sz w:val="20"/>
          <w:szCs w:val="20"/>
          <w:color w:val="auto"/>
        </w:rPr>
      </w:pPr>
    </w:p>
    <w:p>
      <w:pPr>
        <w:ind w:right="1940"/>
        <w:spacing w:after="0" w:line="443" w:lineRule="auto"/>
        <w:rPr>
          <w:sz w:val="20"/>
          <w:szCs w:val="20"/>
          <w:color w:val="auto"/>
        </w:rPr>
      </w:pPr>
      <w:r>
        <w:rPr>
          <w:rFonts w:ascii="Times New Roman" w:cs="Times New Roman" w:eastAsia="Times New Roman" w:hAnsi="Times New Roman"/>
          <w:sz w:val="19"/>
          <w:szCs w:val="19"/>
          <w:color w:val="auto"/>
        </w:rPr>
        <w:t>and irrevocably appoint to transfer this Note on the books of the Issuer. The agent may substitute another to act for him. Date: _______________</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Your Signature: ____________________________________</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(Sign exactly as your name appears on the face of this Note)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Guarantee*: _________________________</w:t>
      </w:r>
    </w:p>
    <w:p>
      <w:pPr>
        <w:spacing w:after="0" w:line="192" w:lineRule="exact"/>
        <w:rPr>
          <w:sz w:val="20"/>
          <w:szCs w:val="20"/>
          <w:color w:val="auto"/>
        </w:rPr>
      </w:pPr>
    </w:p>
    <w:p>
      <w:pPr>
        <w:ind w:left="300" w:hanging="294"/>
        <w:spacing w:after="0"/>
        <w:tabs>
          <w:tab w:leader="none" w:pos="3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40" w:lineRule="exact"/>
        <w:rPr>
          <w:rFonts w:ascii="Times New Roman" w:cs="Times New Roman" w:eastAsia="Times New Roman" w:hAnsi="Times New Roman"/>
          <w:sz w:val="19"/>
          <w:szCs w:val="19"/>
          <w:color w:val="auto"/>
        </w:rPr>
      </w:pPr>
    </w:p>
    <w:p>
      <w:pPr>
        <w:ind w:left="54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A-10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OPTION OF HOLDER TO ELECT PURCHASE</w:t>
      </w:r>
    </w:p>
    <w:p>
      <w:pPr>
        <w:spacing w:after="0" w:line="179" w:lineRule="exact"/>
        <w:rPr>
          <w:sz w:val="20"/>
          <w:szCs w:val="20"/>
          <w:color w:val="auto"/>
        </w:rPr>
      </w:pPr>
    </w:p>
    <w:p>
      <w:pPr>
        <w:ind w:right="20" w:firstLine="636"/>
        <w:spacing w:after="0" w:line="270" w:lineRule="auto"/>
        <w:rPr>
          <w:sz w:val="20"/>
          <w:szCs w:val="20"/>
          <w:color w:val="auto"/>
        </w:rPr>
      </w:pPr>
      <w:r>
        <w:rPr>
          <w:rFonts w:ascii="Times New Roman" w:cs="Times New Roman" w:eastAsia="Times New Roman" w:hAnsi="Times New Roman"/>
          <w:sz w:val="19"/>
          <w:szCs w:val="19"/>
          <w:color w:val="auto"/>
        </w:rPr>
        <w:t>If you want to elect to have this Note purchased by the Issuer pursuant to Section 4.10 or 4.15 of the Indenture, check the appropriate box below:</w:t>
      </w:r>
    </w:p>
    <w:p>
      <w:pPr>
        <w:spacing w:after="0" w:line="100" w:lineRule="exact"/>
        <w:rPr>
          <w:sz w:val="20"/>
          <w:szCs w:val="20"/>
          <w:color w:val="auto"/>
        </w:rPr>
      </w:pPr>
    </w:p>
    <w:p>
      <w:pPr>
        <w:ind w:left="4620" w:hanging="212"/>
        <w:spacing w:after="0" w:line="219" w:lineRule="exact"/>
        <w:tabs>
          <w:tab w:leader="none" w:pos="4620" w:val="left"/>
        </w:tabs>
        <w:numPr>
          <w:ilvl w:val="0"/>
          <w:numId w:val="178"/>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Section 4.10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Section 4.15</w:t>
      </w:r>
    </w:p>
    <w:p>
      <w:pPr>
        <w:spacing w:after="0" w:line="223"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If you want to elect to have only part of the Note purchased by the Issuer pursuant to Section 4.10 or Section 4.15 of the Indenture, state the amount you elect to have purchased:</w:t>
      </w:r>
    </w:p>
    <w:p>
      <w:pPr>
        <w:spacing w:after="0" w:line="1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_______________</w:t>
      </w:r>
    </w:p>
    <w:p>
      <w:pPr>
        <w:spacing w:after="0" w:line="19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9"/>
          <w:szCs w:val="19"/>
          <w:color w:val="auto"/>
        </w:rPr>
        <w:t>Your Signature: ____________________________________</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(Sign exactly as your name appears on the face of this Note)</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Tax Identification No.:__________________________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Guarantee*: _________________________</w:t>
      </w:r>
    </w:p>
    <w:p>
      <w:pPr>
        <w:spacing w:after="0" w:line="192" w:lineRule="exact"/>
        <w:rPr>
          <w:sz w:val="20"/>
          <w:szCs w:val="20"/>
          <w:color w:val="auto"/>
        </w:rPr>
      </w:pPr>
    </w:p>
    <w:p>
      <w:pPr>
        <w:ind w:left="300" w:hanging="294"/>
        <w:spacing w:after="0"/>
        <w:tabs>
          <w:tab w:leader="none" w:pos="30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77" w:lineRule="exact"/>
        <w:rPr>
          <w:rFonts w:ascii="Times New Roman" w:cs="Times New Roman" w:eastAsia="Times New Roman" w:hAnsi="Times New Roman"/>
          <w:sz w:val="19"/>
          <w:szCs w:val="19"/>
          <w:color w:val="auto"/>
        </w:rPr>
      </w:pPr>
    </w:p>
    <w:p>
      <w:pPr>
        <w:ind w:left="54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A-11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8" w:lineRule="exact"/>
        <w:rPr>
          <w:sz w:val="20"/>
          <w:szCs w:val="20"/>
          <w:color w:val="auto"/>
        </w:rPr>
      </w:pPr>
    </w:p>
    <w:tbl>
      <w:tblPr>
        <w:tblLayout w:type="fixed"/>
        <w:tblInd w:w="474" w:type="dxa"/>
        <w:tblCellMar>
          <w:top w:w="0" w:type="dxa"/>
          <w:left w:w="0" w:type="dxa"/>
          <w:bottom w:w="0" w:type="dxa"/>
          <w:right w:w="0" w:type="dxa"/>
        </w:tblCellMar>
      </w:tblPr>
      <w:tr>
        <w:trPr>
          <w:trHeight w:val="253"/>
        </w:trPr>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580" w:type="dxa"/>
            <w:vAlign w:val="bottom"/>
            <w:gridSpan w:val="9"/>
          </w:tcPr>
          <w:p>
            <w:pPr>
              <w:jc w:val="center"/>
              <w:spacing w:after="0"/>
              <w:rPr>
                <w:sz w:val="20"/>
                <w:szCs w:val="20"/>
                <w:color w:val="auto"/>
              </w:rPr>
            </w:pPr>
            <w:r>
              <w:rPr>
                <w:rFonts w:ascii="Times New Roman" w:cs="Times New Roman" w:eastAsia="Times New Roman" w:hAnsi="Times New Roman"/>
                <w:sz w:val="19"/>
                <w:szCs w:val="19"/>
                <w:color w:val="auto"/>
              </w:rPr>
              <w:t>SCHEDULE OF INCREASES OR DECREASES OF INTERESTS IN THE GLOBAL NOTE *</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98"/>
        </w:trPr>
        <w:tc>
          <w:tcPr>
            <w:tcW w:w="8920" w:type="dxa"/>
            <w:vAlign w:val="bottom"/>
            <w:gridSpan w:val="12"/>
          </w:tcPr>
          <w:p>
            <w:pPr>
              <w:ind w:left="160"/>
              <w:spacing w:after="0"/>
              <w:rPr>
                <w:sz w:val="20"/>
                <w:szCs w:val="20"/>
                <w:color w:val="auto"/>
              </w:rPr>
            </w:pPr>
            <w:r>
              <w:rPr>
                <w:rFonts w:ascii="Times New Roman" w:cs="Times New Roman" w:eastAsia="Times New Roman" w:hAnsi="Times New Roman"/>
                <w:sz w:val="19"/>
                <w:szCs w:val="19"/>
                <w:color w:val="auto"/>
              </w:rPr>
              <w:t>The following increases or decreases in principal amount of this Global Note have been made:</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3"/>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9"/>
                <w:szCs w:val="19"/>
                <w:color w:val="auto"/>
              </w:rPr>
              <w:t>Amount of</w:t>
            </w:r>
          </w:p>
        </w:tc>
        <w:tc>
          <w:tcPr>
            <w:tcW w:w="480" w:type="dxa"/>
            <w:vAlign w:val="bottom"/>
          </w:tcPr>
          <w:p>
            <w:pPr>
              <w:spacing w:after="0"/>
              <w:rPr>
                <w:sz w:val="24"/>
                <w:szCs w:val="24"/>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rPr>
              <w:t>Amount of</w:t>
            </w:r>
          </w:p>
        </w:tc>
        <w:tc>
          <w:tcPr>
            <w:tcW w:w="2680" w:type="dxa"/>
            <w:vAlign w:val="bottom"/>
            <w:gridSpan w:val="3"/>
          </w:tcPr>
          <w:p>
            <w:pPr>
              <w:jc w:val="center"/>
              <w:ind w:right="380"/>
              <w:spacing w:after="0"/>
              <w:rPr>
                <w:sz w:val="20"/>
                <w:szCs w:val="20"/>
                <w:color w:val="auto"/>
              </w:rPr>
            </w:pPr>
            <w:r>
              <w:rPr>
                <w:rFonts w:ascii="Times New Roman" w:cs="Times New Roman" w:eastAsia="Times New Roman" w:hAnsi="Times New Roman"/>
                <w:sz w:val="19"/>
                <w:szCs w:val="19"/>
                <w:color w:val="auto"/>
              </w:rPr>
              <w:t>Principal Amount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2"/>
        </w:trPr>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gridSpan w:val="2"/>
          </w:tcPr>
          <w:p>
            <w:pPr>
              <w:jc w:val="center"/>
              <w:ind w:right="480"/>
              <w:spacing w:after="0" w:line="212" w:lineRule="exact"/>
              <w:rPr>
                <w:sz w:val="20"/>
                <w:szCs w:val="20"/>
                <w:color w:val="auto"/>
              </w:rPr>
            </w:pPr>
            <w:r>
              <w:rPr>
                <w:rFonts w:ascii="Times New Roman" w:cs="Times New Roman" w:eastAsia="Times New Roman" w:hAnsi="Times New Roman"/>
                <w:sz w:val="19"/>
                <w:szCs w:val="19"/>
                <w:color w:val="auto"/>
              </w:rPr>
              <w:t>decrease in</w:t>
            </w:r>
          </w:p>
        </w:tc>
        <w:tc>
          <w:tcPr>
            <w:tcW w:w="480" w:type="dxa"/>
            <w:vAlign w:val="bottom"/>
          </w:tcPr>
          <w:p>
            <w:pPr>
              <w:spacing w:after="0"/>
              <w:rPr>
                <w:sz w:val="18"/>
                <w:szCs w:val="18"/>
                <w:color w:val="auto"/>
              </w:rPr>
            </w:pPr>
          </w:p>
        </w:tc>
        <w:tc>
          <w:tcPr>
            <w:tcW w:w="1760" w:type="dxa"/>
            <w:vAlign w:val="bottom"/>
            <w:gridSpan w:val="2"/>
          </w:tcPr>
          <w:p>
            <w:pPr>
              <w:jc w:val="center"/>
              <w:ind w:right="460"/>
              <w:spacing w:after="0" w:line="212" w:lineRule="exact"/>
              <w:rPr>
                <w:sz w:val="20"/>
                <w:szCs w:val="20"/>
                <w:color w:val="auto"/>
              </w:rPr>
            </w:pPr>
            <w:r>
              <w:rPr>
                <w:rFonts w:ascii="Times New Roman" w:cs="Times New Roman" w:eastAsia="Times New Roman" w:hAnsi="Times New Roman"/>
                <w:sz w:val="19"/>
                <w:szCs w:val="19"/>
                <w:color w:val="auto"/>
              </w:rPr>
              <w:t>increase in</w:t>
            </w:r>
          </w:p>
        </w:tc>
        <w:tc>
          <w:tcPr>
            <w:tcW w:w="2680" w:type="dxa"/>
            <w:vAlign w:val="bottom"/>
            <w:gridSpan w:val="3"/>
          </w:tcPr>
          <w:p>
            <w:pPr>
              <w:jc w:val="center"/>
              <w:ind w:right="380"/>
              <w:spacing w:after="0" w:line="212" w:lineRule="exact"/>
              <w:rPr>
                <w:sz w:val="20"/>
                <w:szCs w:val="20"/>
                <w:color w:val="auto"/>
              </w:rPr>
            </w:pPr>
            <w:r>
              <w:rPr>
                <w:rFonts w:ascii="Times New Roman" w:cs="Times New Roman" w:eastAsia="Times New Roman" w:hAnsi="Times New Roman"/>
                <w:sz w:val="19"/>
                <w:szCs w:val="19"/>
                <w:color w:val="auto"/>
              </w:rPr>
              <w:t>of this Global Note</w:t>
            </w:r>
          </w:p>
        </w:tc>
        <w:tc>
          <w:tcPr>
            <w:tcW w:w="140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19"/>
                <w:szCs w:val="19"/>
                <w:color w:val="auto"/>
              </w:rPr>
              <w:t>Signature of</w:t>
            </w:r>
          </w:p>
        </w:tc>
      </w:tr>
      <w:tr>
        <w:trPr>
          <w:trHeight w:val="212"/>
        </w:trPr>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3"/>
          </w:tcPr>
          <w:p>
            <w:pPr>
              <w:jc w:val="center"/>
              <w:ind w:left="323"/>
              <w:spacing w:after="0" w:line="212" w:lineRule="exact"/>
              <w:rPr>
                <w:sz w:val="20"/>
                <w:szCs w:val="20"/>
                <w:color w:val="auto"/>
              </w:rPr>
            </w:pPr>
            <w:r>
              <w:rPr>
                <w:rFonts w:ascii="Times New Roman" w:cs="Times New Roman" w:eastAsia="Times New Roman" w:hAnsi="Times New Roman"/>
                <w:sz w:val="19"/>
                <w:szCs w:val="19"/>
                <w:color w:val="auto"/>
              </w:rPr>
              <w:t>Principal Amount</w:t>
            </w:r>
          </w:p>
        </w:tc>
        <w:tc>
          <w:tcPr>
            <w:tcW w:w="224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19"/>
                <w:szCs w:val="19"/>
                <w:color w:val="auto"/>
              </w:rPr>
              <w:t>Principal Amount</w:t>
            </w:r>
          </w:p>
        </w:tc>
        <w:tc>
          <w:tcPr>
            <w:tcW w:w="2680" w:type="dxa"/>
            <w:vAlign w:val="bottom"/>
            <w:gridSpan w:val="3"/>
          </w:tcPr>
          <w:p>
            <w:pPr>
              <w:jc w:val="center"/>
              <w:ind w:right="400"/>
              <w:spacing w:after="0" w:line="212" w:lineRule="exact"/>
              <w:rPr>
                <w:sz w:val="20"/>
                <w:szCs w:val="20"/>
                <w:color w:val="auto"/>
              </w:rPr>
            </w:pPr>
            <w:r>
              <w:rPr>
                <w:rFonts w:ascii="Times New Roman" w:cs="Times New Roman" w:eastAsia="Times New Roman" w:hAnsi="Times New Roman"/>
                <w:sz w:val="19"/>
                <w:szCs w:val="19"/>
                <w:color w:val="auto"/>
              </w:rPr>
              <w:t>following such</w:t>
            </w:r>
          </w:p>
        </w:tc>
        <w:tc>
          <w:tcPr>
            <w:tcW w:w="140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19"/>
                <w:szCs w:val="19"/>
                <w:color w:val="auto"/>
              </w:rPr>
              <w:t>authorized officer</w:t>
            </w:r>
          </w:p>
        </w:tc>
      </w:tr>
      <w:tr>
        <w:trPr>
          <w:trHeight w:val="212"/>
        </w:trPr>
        <w:tc>
          <w:tcPr>
            <w:tcW w:w="1340" w:type="dxa"/>
            <w:vAlign w:val="bottom"/>
            <w:gridSpan w:val="3"/>
          </w:tcPr>
          <w:p>
            <w:pPr>
              <w:spacing w:after="0" w:line="212" w:lineRule="exact"/>
              <w:rPr>
                <w:sz w:val="20"/>
                <w:szCs w:val="20"/>
                <w:color w:val="auto"/>
              </w:rPr>
            </w:pPr>
            <w:r>
              <w:rPr>
                <w:rFonts w:ascii="Times New Roman" w:cs="Times New Roman" w:eastAsia="Times New Roman" w:hAnsi="Times New Roman"/>
                <w:sz w:val="19"/>
                <w:szCs w:val="19"/>
                <w:color w:val="auto"/>
              </w:rPr>
              <w:t>Date of Increase</w:t>
            </w:r>
          </w:p>
        </w:tc>
        <w:tc>
          <w:tcPr>
            <w:tcW w:w="900" w:type="dxa"/>
            <w:vAlign w:val="bottom"/>
          </w:tcPr>
          <w:p>
            <w:pPr>
              <w:spacing w:after="0"/>
              <w:rPr>
                <w:sz w:val="18"/>
                <w:szCs w:val="18"/>
                <w:color w:val="auto"/>
              </w:rPr>
            </w:pPr>
          </w:p>
        </w:tc>
        <w:tc>
          <w:tcPr>
            <w:tcW w:w="1760" w:type="dxa"/>
            <w:vAlign w:val="bottom"/>
            <w:gridSpan w:val="2"/>
          </w:tcPr>
          <w:p>
            <w:pPr>
              <w:jc w:val="center"/>
              <w:ind w:right="480"/>
              <w:spacing w:after="0" w:line="212" w:lineRule="exact"/>
              <w:rPr>
                <w:sz w:val="20"/>
                <w:szCs w:val="20"/>
                <w:color w:val="auto"/>
              </w:rPr>
            </w:pPr>
            <w:r>
              <w:rPr>
                <w:rFonts w:ascii="Times New Roman" w:cs="Times New Roman" w:eastAsia="Times New Roman" w:hAnsi="Times New Roman"/>
                <w:sz w:val="19"/>
                <w:szCs w:val="19"/>
                <w:color w:val="auto"/>
              </w:rPr>
              <w:t>of</w:t>
            </w:r>
          </w:p>
        </w:tc>
        <w:tc>
          <w:tcPr>
            <w:tcW w:w="480" w:type="dxa"/>
            <w:vAlign w:val="bottom"/>
          </w:tcPr>
          <w:p>
            <w:pPr>
              <w:spacing w:after="0"/>
              <w:rPr>
                <w:sz w:val="18"/>
                <w:szCs w:val="18"/>
                <w:color w:val="auto"/>
              </w:rPr>
            </w:pPr>
          </w:p>
        </w:tc>
        <w:tc>
          <w:tcPr>
            <w:tcW w:w="1760" w:type="dxa"/>
            <w:vAlign w:val="bottom"/>
            <w:gridSpan w:val="2"/>
          </w:tcPr>
          <w:p>
            <w:pPr>
              <w:jc w:val="center"/>
              <w:ind w:right="460"/>
              <w:spacing w:after="0" w:line="212" w:lineRule="exact"/>
              <w:rPr>
                <w:sz w:val="20"/>
                <w:szCs w:val="20"/>
                <w:color w:val="auto"/>
              </w:rPr>
            </w:pPr>
            <w:r>
              <w:rPr>
                <w:rFonts w:ascii="Times New Roman" w:cs="Times New Roman" w:eastAsia="Times New Roman" w:hAnsi="Times New Roman"/>
                <w:sz w:val="19"/>
                <w:szCs w:val="19"/>
                <w:color w:val="auto"/>
              </w:rPr>
              <w:t>of</w:t>
            </w:r>
          </w:p>
        </w:tc>
        <w:tc>
          <w:tcPr>
            <w:tcW w:w="720" w:type="dxa"/>
            <w:vAlign w:val="bottom"/>
          </w:tcPr>
          <w:p>
            <w:pPr>
              <w:spacing w:after="0"/>
              <w:rPr>
                <w:sz w:val="18"/>
                <w:szCs w:val="18"/>
                <w:color w:val="auto"/>
              </w:rPr>
            </w:pPr>
          </w:p>
        </w:tc>
        <w:tc>
          <w:tcPr>
            <w:tcW w:w="1960" w:type="dxa"/>
            <w:vAlign w:val="bottom"/>
            <w:gridSpan w:val="2"/>
          </w:tcPr>
          <w:p>
            <w:pPr>
              <w:jc w:val="center"/>
              <w:ind w:right="1120"/>
              <w:spacing w:after="0" w:line="212" w:lineRule="exact"/>
              <w:rPr>
                <w:sz w:val="20"/>
                <w:szCs w:val="20"/>
                <w:color w:val="auto"/>
              </w:rPr>
            </w:pPr>
            <w:r>
              <w:rPr>
                <w:rFonts w:ascii="Times New Roman" w:cs="Times New Roman" w:eastAsia="Times New Roman" w:hAnsi="Times New Roman"/>
                <w:sz w:val="19"/>
                <w:szCs w:val="19"/>
                <w:color w:val="auto"/>
              </w:rPr>
              <w:t>decrease</w:t>
            </w:r>
          </w:p>
        </w:tc>
        <w:tc>
          <w:tcPr>
            <w:tcW w:w="140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19"/>
                <w:szCs w:val="19"/>
                <w:color w:val="auto"/>
              </w:rPr>
              <w:t>of Trustee or</w:t>
            </w:r>
          </w:p>
        </w:tc>
      </w:tr>
      <w:tr>
        <w:trPr>
          <w:trHeight w:val="208"/>
        </w:trPr>
        <w:tc>
          <w:tcPr>
            <w:tcW w:w="180" w:type="dxa"/>
            <w:vAlign w:val="bottom"/>
          </w:tcPr>
          <w:p>
            <w:pPr>
              <w:spacing w:after="0"/>
              <w:rPr>
                <w:sz w:val="18"/>
                <w:szCs w:val="18"/>
                <w:color w:val="auto"/>
              </w:rPr>
            </w:pPr>
          </w:p>
        </w:tc>
        <w:tc>
          <w:tcPr>
            <w:tcW w:w="92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w w:val="99"/>
              </w:rPr>
              <w:t>or Decrease</w:t>
            </w:r>
          </w:p>
        </w:tc>
        <w:tc>
          <w:tcPr>
            <w:tcW w:w="240" w:type="dxa"/>
            <w:vAlign w:val="bottom"/>
          </w:tcPr>
          <w:p>
            <w:pPr>
              <w:spacing w:after="0"/>
              <w:rPr>
                <w:sz w:val="18"/>
                <w:szCs w:val="18"/>
                <w:color w:val="auto"/>
              </w:rPr>
            </w:pPr>
          </w:p>
        </w:tc>
        <w:tc>
          <w:tcPr>
            <w:tcW w:w="2660" w:type="dxa"/>
            <w:vAlign w:val="bottom"/>
            <w:gridSpan w:val="3"/>
          </w:tcPr>
          <w:p>
            <w:pPr>
              <w:jc w:val="center"/>
              <w:ind w:left="323"/>
              <w:spacing w:after="0" w:line="208" w:lineRule="exact"/>
              <w:rPr>
                <w:sz w:val="20"/>
                <w:szCs w:val="20"/>
                <w:color w:val="auto"/>
              </w:rPr>
            </w:pPr>
            <w:r>
              <w:rPr>
                <w:rFonts w:ascii="Times New Roman" w:cs="Times New Roman" w:eastAsia="Times New Roman" w:hAnsi="Times New Roman"/>
                <w:sz w:val="19"/>
                <w:szCs w:val="19"/>
                <w:color w:val="auto"/>
              </w:rPr>
              <w:t>this Global Note</w:t>
            </w:r>
          </w:p>
        </w:tc>
        <w:tc>
          <w:tcPr>
            <w:tcW w:w="480" w:type="dxa"/>
            <w:vAlign w:val="bottom"/>
          </w:tcPr>
          <w:p>
            <w:pPr>
              <w:spacing w:after="0"/>
              <w:rPr>
                <w:sz w:val="18"/>
                <w:szCs w:val="18"/>
                <w:color w:val="auto"/>
              </w:rPr>
            </w:pPr>
          </w:p>
        </w:tc>
        <w:tc>
          <w:tcPr>
            <w:tcW w:w="1760" w:type="dxa"/>
            <w:vAlign w:val="bottom"/>
            <w:gridSpan w:val="2"/>
          </w:tcPr>
          <w:p>
            <w:pPr>
              <w:jc w:val="center"/>
              <w:ind w:right="460"/>
              <w:spacing w:after="0" w:line="208" w:lineRule="exact"/>
              <w:rPr>
                <w:sz w:val="20"/>
                <w:szCs w:val="20"/>
                <w:color w:val="auto"/>
              </w:rPr>
            </w:pPr>
            <w:r>
              <w:rPr>
                <w:rFonts w:ascii="Times New Roman" w:cs="Times New Roman" w:eastAsia="Times New Roman" w:hAnsi="Times New Roman"/>
                <w:sz w:val="19"/>
                <w:szCs w:val="19"/>
                <w:color w:val="auto"/>
              </w:rPr>
              <w:t>this Global Note</w:t>
            </w:r>
          </w:p>
        </w:tc>
        <w:tc>
          <w:tcPr>
            <w:tcW w:w="2680" w:type="dxa"/>
            <w:vAlign w:val="bottom"/>
            <w:gridSpan w:val="3"/>
          </w:tcPr>
          <w:p>
            <w:pPr>
              <w:jc w:val="center"/>
              <w:ind w:right="380"/>
              <w:spacing w:after="0" w:line="208" w:lineRule="exact"/>
              <w:rPr>
                <w:sz w:val="20"/>
                <w:szCs w:val="20"/>
                <w:color w:val="auto"/>
              </w:rPr>
            </w:pPr>
            <w:r>
              <w:rPr>
                <w:rFonts w:ascii="Times New Roman" w:cs="Times New Roman" w:eastAsia="Times New Roman" w:hAnsi="Times New Roman"/>
                <w:sz w:val="19"/>
                <w:szCs w:val="19"/>
                <w:color w:val="auto"/>
              </w:rPr>
              <w:t>(or increase)</w:t>
            </w:r>
          </w:p>
        </w:tc>
        <w:tc>
          <w:tcPr>
            <w:tcW w:w="320" w:type="dxa"/>
            <w:vAlign w:val="bottom"/>
          </w:tcPr>
          <w:p>
            <w:pPr>
              <w:spacing w:after="0"/>
              <w:rPr>
                <w:sz w:val="18"/>
                <w:szCs w:val="18"/>
                <w:color w:val="auto"/>
              </w:rPr>
            </w:pPr>
          </w:p>
        </w:tc>
        <w:tc>
          <w:tcPr>
            <w:tcW w:w="1080" w:type="dxa"/>
            <w:vAlign w:val="bottom"/>
            <w:gridSpan w:val="2"/>
          </w:tcPr>
          <w:p>
            <w:pPr>
              <w:jc w:val="center"/>
              <w:ind w:right="300"/>
              <w:spacing w:after="0" w:line="208" w:lineRule="exact"/>
              <w:rPr>
                <w:sz w:val="20"/>
                <w:szCs w:val="20"/>
                <w:color w:val="auto"/>
              </w:rPr>
            </w:pPr>
            <w:r>
              <w:rPr>
                <w:rFonts w:ascii="Times New Roman" w:cs="Times New Roman" w:eastAsia="Times New Roman" w:hAnsi="Times New Roman"/>
                <w:sz w:val="19"/>
                <w:szCs w:val="19"/>
                <w:color w:val="auto"/>
              </w:rPr>
              <w:t>Custodian</w:t>
            </w: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 w:hanging="154"/>
        <w:spacing w:after="0"/>
        <w:tabs>
          <w:tab w:leader="none" w:pos="15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This schedule should be included only if the Note is issued in global form</w:t>
      </w:r>
      <w:r>
        <w:rPr>
          <w:rFonts w:ascii="Times New Roman" w:cs="Times New Roman" w:eastAsia="Times New Roman" w:hAnsi="Times New Roman"/>
          <w:sz w:val="19"/>
          <w:szCs w:val="19"/>
          <w:color w:val="auto"/>
        </w:rPr>
        <w:t>.</w:t>
      </w:r>
    </w:p>
    <w:p>
      <w:pPr>
        <w:sectPr>
          <w:pgSz w:w="11900" w:h="16838" w:orient="portrait"/>
          <w:cols w:equalWidth="0" w:num="1">
            <w:col w:w="10794"/>
          </w:cols>
          <w:pgMar w:left="326"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9"/>
          <w:szCs w:val="19"/>
          <w:color w:val="auto"/>
        </w:rPr>
        <w:t>A-12</w:t>
      </w:r>
    </w:p>
    <w:p>
      <w:pPr>
        <w:sectPr>
          <w:pgSz w:w="11900" w:h="16838" w:orient="portrait"/>
          <w:cols w:equalWidth="0" w:num="1">
            <w:col w:w="10794"/>
          </w:cols>
          <w:pgMar w:left="326" w:top="1440" w:right="77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21"/>
          <w:szCs w:val="2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CERTIFICATE OF TRANSFER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27200 Tourney Road, Suite 200</w:t>
      </w:r>
    </w:p>
    <w:p>
      <w:pPr>
        <w:spacing w:after="0" w:line="232" w:lineRule="auto"/>
        <w:rPr>
          <w:sz w:val="20"/>
          <w:szCs w:val="20"/>
          <w:color w:val="auto"/>
        </w:rPr>
      </w:pPr>
      <w:r>
        <w:rPr>
          <w:rFonts w:ascii="Times New Roman" w:cs="Times New Roman" w:eastAsia="Times New Roman" w:hAnsi="Times New Roman"/>
          <w:sz w:val="19"/>
          <w:szCs w:val="19"/>
          <w:color w:val="auto"/>
        </w:rPr>
        <w:t>Santa Clarita, California 91355</w:t>
      </w:r>
    </w:p>
    <w:p>
      <w:pPr>
        <w:spacing w:after="0" w:line="233" w:lineRule="auto"/>
        <w:rPr>
          <w:sz w:val="20"/>
          <w:szCs w:val="20"/>
          <w:color w:val="auto"/>
        </w:rPr>
      </w:pPr>
      <w:r>
        <w:rPr>
          <w:rFonts w:ascii="Times New Roman" w:cs="Times New Roman" w:eastAsia="Times New Roman" w:hAnsi="Times New Roman"/>
          <w:sz w:val="19"/>
          <w:szCs w:val="19"/>
          <w:color w:val="auto"/>
        </w:rPr>
        <w:t>Facsimile No.: (818) 661-3750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Chief Financial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 South Sixth Street, Suite 1290</w:t>
      </w:r>
    </w:p>
    <w:p>
      <w:pPr>
        <w:spacing w:after="0" w:line="232" w:lineRule="auto"/>
        <w:rPr>
          <w:sz w:val="20"/>
          <w:szCs w:val="20"/>
          <w:color w:val="auto"/>
        </w:rPr>
      </w:pPr>
      <w:r>
        <w:rPr>
          <w:rFonts w:ascii="Times New Roman" w:cs="Times New Roman" w:eastAsia="Times New Roman" w:hAnsi="Times New Roman"/>
          <w:sz w:val="19"/>
          <w:szCs w:val="19"/>
          <w:color w:val="auto"/>
        </w:rPr>
        <w:t>Minneapolis, Minnesota 55402</w:t>
      </w:r>
    </w:p>
    <w:p>
      <w:pPr>
        <w:spacing w:after="0" w:line="233" w:lineRule="auto"/>
        <w:rPr>
          <w:sz w:val="20"/>
          <w:szCs w:val="20"/>
          <w:color w:val="auto"/>
        </w:rPr>
      </w:pPr>
      <w:r>
        <w:rPr>
          <w:rFonts w:ascii="Times New Roman" w:cs="Times New Roman" w:eastAsia="Times New Roman" w:hAnsi="Times New Roman"/>
          <w:sz w:val="19"/>
          <w:szCs w:val="19"/>
          <w:color w:val="auto"/>
        </w:rPr>
        <w:t>Facsimile No.: (612) 217-5651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California Resources Corporation, Administrator</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Re: California Resources Corporation 7.125% Senior Notes due 2026</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9"/>
          <w:szCs w:val="19"/>
          <w:color w:val="auto"/>
        </w:rPr>
        <w:t>Reference is hereby made to the Indenture, dated as of January 20, 2021 (the “</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among California Resources Corporation, a Delaware corporation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the Guarantors party thereto and Wilmington Trust, National Association, as trustee. Capitalized terms used but not defined herein shall have the meanings given to them in the Indenture.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___________________ (the “</w:t>
      </w:r>
      <w:r>
        <w:rPr>
          <w:rFonts w:ascii="Times New Roman" w:cs="Times New Roman" w:eastAsia="Times New Roman" w:hAnsi="Times New Roman"/>
          <w:sz w:val="19"/>
          <w:szCs w:val="19"/>
          <w:i w:val="1"/>
          <w:iCs w:val="1"/>
          <w:color w:val="auto"/>
        </w:rPr>
        <w:t>Transferor</w:t>
      </w:r>
      <w:r>
        <w:rPr>
          <w:rFonts w:ascii="Times New Roman" w:cs="Times New Roman" w:eastAsia="Times New Roman" w:hAnsi="Times New Roman"/>
          <w:sz w:val="19"/>
          <w:szCs w:val="19"/>
          <w:color w:val="auto"/>
        </w:rPr>
        <w:t>”) owns and proposes to transfer the Note[s] or interest in such Note[s] specified in Annex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hereto, in the principal amount of $___________ in such Note[s] or interests (the “</w:t>
      </w:r>
      <w:r>
        <w:rPr>
          <w:rFonts w:ascii="Times New Roman" w:cs="Times New Roman" w:eastAsia="Times New Roman" w:hAnsi="Times New Roman"/>
          <w:sz w:val="19"/>
          <w:szCs w:val="19"/>
          <w:i w:val="1"/>
          <w:iCs w:val="1"/>
          <w:color w:val="auto"/>
        </w:rPr>
        <w:t>Transfer</w:t>
      </w:r>
      <w:r>
        <w:rPr>
          <w:rFonts w:ascii="Times New Roman" w:cs="Times New Roman" w:eastAsia="Times New Roman" w:hAnsi="Times New Roman"/>
          <w:sz w:val="19"/>
          <w:szCs w:val="19"/>
          <w:color w:val="auto"/>
        </w:rPr>
        <w:t>”), to ___________________________ (the</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Transferee</w:t>
      </w:r>
      <w:r>
        <w:rPr>
          <w:rFonts w:ascii="Times New Roman" w:cs="Times New Roman" w:eastAsia="Times New Roman" w:hAnsi="Times New Roman"/>
          <w:sz w:val="19"/>
          <w:szCs w:val="19"/>
          <w:color w:val="auto"/>
        </w:rPr>
        <w:t>”), as further specified in Annex A hereto. In connection with the Transfer, the Transferor hereby certifies that: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[CHECK ALL THAT APPLY]</w:t>
      </w:r>
    </w:p>
    <w:p>
      <w:pPr>
        <w:spacing w:after="0" w:line="161" w:lineRule="exact"/>
        <w:rPr>
          <w:sz w:val="20"/>
          <w:szCs w:val="20"/>
          <w:color w:val="auto"/>
        </w:rPr>
      </w:pPr>
    </w:p>
    <w:p>
      <w:pPr>
        <w:jc w:val="both"/>
        <w:ind w:firstLine="642"/>
        <w:spacing w:after="0" w:line="219" w:lineRule="exact"/>
        <w:tabs>
          <w:tab w:leader="none" w:pos="857" w:val="left"/>
        </w:tabs>
        <w:numPr>
          <w:ilvl w:val="0"/>
          <w:numId w:val="181"/>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Check if Transferee will take delivery of a beneficial interest in the 144A Global Note or a Restricted Definitive Note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pursuant to Rule 144A</w:t>
      </w:r>
      <w:r>
        <w:rPr>
          <w:rFonts w:ascii="Times New Roman" w:cs="Times New Roman" w:eastAsia="Times New Roman" w:hAnsi="Times New Roman"/>
          <w:sz w:val="19"/>
          <w:szCs w:val="19"/>
          <w:color w:val="auto"/>
        </w:rPr>
        <w:t>. The Transfer is being effected pursuant to and in accordance with Rule 144A under the Securities Act of 1933,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amended (the “</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20" w:lineRule="exact"/>
        <w:rPr>
          <w:rFonts w:ascii="Times New Roman" w:cs="Times New Roman" w:eastAsia="Times New Roman" w:hAnsi="Times New Roman"/>
          <w:sz w:val="19"/>
          <w:szCs w:val="19"/>
          <w:color w:val="auto"/>
        </w:rPr>
      </w:pPr>
    </w:p>
    <w:p>
      <w:pPr>
        <w:jc w:val="both"/>
        <w:ind w:firstLine="642"/>
        <w:spacing w:after="0" w:line="230" w:lineRule="exact"/>
        <w:tabs>
          <w:tab w:leader="none" w:pos="843" w:val="left"/>
        </w:tabs>
        <w:numPr>
          <w:ilvl w:val="0"/>
          <w:numId w:val="181"/>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Check if Transferee will take delivery of a beneficial interest in the Regulation S Global Note or a Restricted Definitive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Note pursuant to Regulation S</w:t>
      </w:r>
      <w:r>
        <w:rPr>
          <w:rFonts w:ascii="Times New Roman" w:cs="Times New Roman" w:eastAsia="Times New Roman" w:hAnsi="Times New Roman"/>
          <w:sz w:val="19"/>
          <w:szCs w:val="19"/>
          <w:color w:val="auto"/>
        </w:rPr>
        <w:t>. The Transfer is being effected pursuant to and in accordance with Rule 903 or Rule 904 under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 and, accordingly, the Transferor hereby further certifies that (i) the Transfer is not being made to a Person in the United States and (x) at the time the buy order was originated, the Transferee was outside the United States or such Transferor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w:t>
      </w:r>
    </w:p>
    <w:p>
      <w:pPr>
        <w:sectPr>
          <w:pgSz w:w="11900" w:h="16838" w:orient="portrait"/>
          <w:cols w:equalWidth="0" w:num="1">
            <w:col w:w="11240"/>
          </w:cols>
          <w:pgMar w:left="320" w:top="1384" w:right="339" w:bottom="1440" w:gutter="0" w:footer="0" w:header="0"/>
        </w:sectPr>
      </w:pPr>
    </w:p>
    <w:bookmarkStart w:id="140" w:name="page141"/>
    <w:bookmarkEnd w:id="140"/>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321" w:lineRule="exact"/>
        <w:rPr>
          <w:sz w:val="20"/>
          <w:szCs w:val="20"/>
          <w:color w:val="auto"/>
        </w:rPr>
      </w:pPr>
    </w:p>
    <w:p>
      <w:pPr>
        <w:jc w:val="both"/>
        <w:ind w:firstLine="642"/>
        <w:spacing w:after="0" w:line="226" w:lineRule="exact"/>
        <w:tabs>
          <w:tab w:leader="none" w:pos="830" w:val="left"/>
        </w:tabs>
        <w:numPr>
          <w:ilvl w:val="0"/>
          <w:numId w:val="182"/>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Check and complete if, among other things, Transferee will take delivery of a beneficial interest in the IAI Global Note 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Restricted Definitive Note pursuant to any provision of the Securities Act other than Rule 144A or Regulation S</w:t>
      </w:r>
      <w:r>
        <w:rPr>
          <w:rFonts w:ascii="Times New Roman" w:cs="Times New Roman" w:eastAsia="Times New Roman" w:hAnsi="Times New Roman"/>
          <w:sz w:val="19"/>
          <w:szCs w:val="19"/>
          <w:color w:val="auto"/>
        </w:rPr>
        <w:t>. The Transfer is being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22" w:lineRule="exact"/>
        <w:rPr>
          <w:rFonts w:ascii="Times New Roman" w:cs="Times New Roman" w:eastAsia="Times New Roman" w:hAnsi="Times New Roman"/>
          <w:sz w:val="19"/>
          <w:szCs w:val="19"/>
          <w:color w:val="auto"/>
        </w:rPr>
      </w:pPr>
    </w:p>
    <w:p>
      <w:pPr>
        <w:ind w:left="640" w:firstLine="638"/>
        <w:spacing w:after="0" w:line="258" w:lineRule="exact"/>
        <w:tabs>
          <w:tab w:leader="none" w:pos="1757" w:val="left"/>
        </w:tabs>
        <w:numPr>
          <w:ilvl w:val="1"/>
          <w:numId w:val="182"/>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such Transfer is being effected pursuant an exemption from the registration requirements of the Securities Act other than as provided by Rule 144 under the Securities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or</w:t>
      </w:r>
    </w:p>
    <w:p>
      <w:pPr>
        <w:spacing w:after="0" w:line="141" w:lineRule="exact"/>
        <w:rPr>
          <w:sz w:val="20"/>
          <w:szCs w:val="20"/>
          <w:color w:val="auto"/>
        </w:rPr>
      </w:pPr>
    </w:p>
    <w:p>
      <w:pPr>
        <w:ind w:left="5540" w:right="4060" w:hanging="4262"/>
        <w:spacing w:after="0" w:line="358" w:lineRule="exact"/>
        <w:tabs>
          <w:tab w:leader="none" w:pos="1713" w:val="left"/>
        </w:tabs>
        <w:numPr>
          <w:ilvl w:val="0"/>
          <w:numId w:val="183"/>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such Transfer is being effected to the Issuer or a subsidiary thereof; or</w:t>
      </w:r>
    </w:p>
    <w:p>
      <w:pPr>
        <w:spacing w:after="0" w:line="119" w:lineRule="exact"/>
        <w:rPr>
          <w:rFonts w:ascii="Times New Roman" w:cs="Times New Roman" w:eastAsia="Times New Roman" w:hAnsi="Times New Roman"/>
          <w:sz w:val="19"/>
          <w:szCs w:val="19"/>
          <w:color w:val="auto"/>
        </w:rPr>
      </w:pPr>
    </w:p>
    <w:p>
      <w:pPr>
        <w:ind w:left="640" w:firstLine="638"/>
        <w:spacing w:after="0" w:line="258" w:lineRule="exact"/>
        <w:tabs>
          <w:tab w:leader="none" w:pos="1863" w:val="left"/>
        </w:tabs>
        <w:numPr>
          <w:ilvl w:val="0"/>
          <w:numId w:val="183"/>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such Transfer is being effected pursuant to an effective registration statement under the Securities Act and in compliance with the prospectus delivery requirements of the Securities Act;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or</w:t>
      </w:r>
    </w:p>
    <w:p>
      <w:pPr>
        <w:spacing w:after="0" w:line="154" w:lineRule="exact"/>
        <w:rPr>
          <w:sz w:val="20"/>
          <w:szCs w:val="20"/>
          <w:color w:val="auto"/>
        </w:rPr>
      </w:pPr>
    </w:p>
    <w:p>
      <w:pPr>
        <w:jc w:val="both"/>
        <w:ind w:left="640" w:firstLine="638"/>
        <w:spacing w:after="0" w:line="221" w:lineRule="exact"/>
        <w:tabs>
          <w:tab w:leader="none" w:pos="1873" w:val="left"/>
        </w:tabs>
        <w:numPr>
          <w:ilvl w:val="0"/>
          <w:numId w:val="184"/>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63" w:lineRule="exact"/>
        <w:rPr>
          <w:sz w:val="20"/>
          <w:szCs w:val="20"/>
          <w:color w:val="auto"/>
        </w:rPr>
      </w:pPr>
    </w:p>
    <w:p>
      <w:pPr>
        <w:ind w:left="640" w:firstLine="636"/>
        <w:spacing w:after="0" w:line="270" w:lineRule="auto"/>
        <w:rPr>
          <w:sz w:val="20"/>
          <w:szCs w:val="20"/>
          <w:color w:val="auto"/>
        </w:rPr>
      </w:pPr>
      <w:r>
        <w:rPr>
          <w:rFonts w:ascii="Times New Roman" w:cs="Times New Roman" w:eastAsia="Times New Roman" w:hAnsi="Times New Roman"/>
          <w:sz w:val="19"/>
          <w:szCs w:val="19"/>
          <w:color w:val="auto"/>
        </w:rPr>
        <w:t>Notwithstanding anything to the contrary, transfers pursuant to Rule 144 under the Securities Act will not be permitted, even if legally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7" w:lineRule="exact"/>
        <w:rPr>
          <w:sz w:val="20"/>
          <w:szCs w:val="20"/>
          <w:color w:val="auto"/>
        </w:rPr>
      </w:pPr>
    </w:p>
    <w:p>
      <w:pPr>
        <w:ind w:left="640"/>
        <w:spacing w:after="0" w:line="219" w:lineRule="exact"/>
        <w:rPr>
          <w:sz w:val="20"/>
          <w:szCs w:val="20"/>
          <w:color w:val="auto"/>
        </w:rPr>
      </w:pPr>
      <w:r>
        <w:rPr>
          <w:rFonts w:ascii="Times New Roman" w:cs="Times New Roman" w:eastAsia="Times New Roman" w:hAnsi="Times New Roman"/>
          <w:sz w:val="19"/>
          <w:szCs w:val="19"/>
          <w:color w:val="auto"/>
        </w:rPr>
        <w:t xml:space="preserve">4.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Check if Transferee will take delivery of a beneficial interest in an Unrestricted Global Note or an Unrestricted Definitive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Note</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firstLine="642"/>
        <w:spacing w:after="0" w:line="224" w:lineRule="exact"/>
        <w:tabs>
          <w:tab w:leader="none" w:pos="900" w:val="left"/>
        </w:tabs>
        <w:numPr>
          <w:ilvl w:val="0"/>
          <w:numId w:val="185"/>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Transfer is Pursuant to Regulation S</w:t>
      </w:r>
      <w:r>
        <w:rPr>
          <w:rFonts w:ascii="Times New Roman" w:cs="Times New Roman" w:eastAsia="Times New Roman" w:hAnsi="Times New Roman"/>
          <w:sz w:val="19"/>
          <w:szCs w:val="19"/>
          <w:color w:val="auto"/>
        </w:rPr>
        <w:t>. (i) The Transfer is being effected pursuant to and in accordance with Rule 903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27" w:lineRule="exact"/>
        <w:rPr>
          <w:sz w:val="20"/>
          <w:szCs w:val="20"/>
          <w:color w:val="auto"/>
        </w:rPr>
      </w:pPr>
    </w:p>
    <w:p>
      <w:pPr>
        <w:jc w:val="both"/>
        <w:ind w:firstLine="642"/>
        <w:spacing w:after="0" w:line="223" w:lineRule="exact"/>
        <w:tabs>
          <w:tab w:leader="none" w:pos="900" w:val="left"/>
        </w:tabs>
        <w:numPr>
          <w:ilvl w:val="0"/>
          <w:numId w:val="186"/>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Transfer is Pursuant to Other Exemption</w:t>
      </w:r>
      <w:r>
        <w:rPr>
          <w:rFonts w:ascii="Times New Roman" w:cs="Times New Roman" w:eastAsia="Times New Roman" w:hAnsi="Times New Roman"/>
          <w:sz w:val="19"/>
          <w:szCs w:val="19"/>
          <w:color w:val="auto"/>
        </w:rPr>
        <w:t>. (i) The Transfer is being effected pursuant to and in compliance with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Issuer.</w:t>
      </w:r>
    </w:p>
    <w:p>
      <w:pPr>
        <w:spacing w:after="0" w:line="1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[Insert Name of Transferor]</w:t>
      </w:r>
    </w:p>
    <w:p>
      <w:pPr>
        <w:spacing w:after="0" w:line="3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21"/>
          <w:szCs w:val="21"/>
          <w:color w:val="auto"/>
        </w:rPr>
        <w:t>______________________________________</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Dated: 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Guarantee*: _________________________</w:t>
      </w:r>
    </w:p>
    <w:p>
      <w:pPr>
        <w:spacing w:after="0" w:line="192" w:lineRule="exact"/>
        <w:rPr>
          <w:sz w:val="20"/>
          <w:szCs w:val="20"/>
          <w:color w:val="auto"/>
        </w:rPr>
      </w:pPr>
    </w:p>
    <w:p>
      <w:pPr>
        <w:ind w:left="160" w:hanging="154"/>
        <w:spacing w:after="0"/>
        <w:tabs>
          <w:tab w:leader="none" w:pos="16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78" w:lineRule="exact"/>
        <w:rPr>
          <w:rFonts w:ascii="Times New Roman" w:cs="Times New Roman" w:eastAsia="Times New Roman" w:hAnsi="Times New Roman"/>
          <w:sz w:val="19"/>
          <w:szCs w:val="19"/>
          <w:color w:val="auto"/>
        </w:rPr>
      </w:pPr>
    </w:p>
    <w:p>
      <w:pPr>
        <w:ind w:left="5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B-3</w:t>
      </w:r>
    </w:p>
    <w:p>
      <w:pPr>
        <w:sectPr>
          <w:pgSz w:w="11900" w:h="16838" w:orient="portrait"/>
          <w:cols w:equalWidth="0" w:num="1">
            <w:col w:w="11240"/>
          </w:cols>
          <w:pgMar w:left="320" w:top="1440" w:right="339" w:bottom="1440" w:gutter="0" w:footer="0" w:header="0"/>
        </w:sectPr>
      </w:pPr>
    </w:p>
    <w:bookmarkStart w:id="142" w:name="page143"/>
    <w:bookmarkEnd w:id="142"/>
    <w:p>
      <w:pPr>
        <w:jc w:val="right"/>
        <w:ind w:right="2639"/>
        <w:spacing w:after="0"/>
        <w:rPr>
          <w:sz w:val="20"/>
          <w:szCs w:val="20"/>
          <w:color w:val="auto"/>
        </w:rPr>
      </w:pPr>
      <w:r>
        <w:rPr>
          <w:rFonts w:ascii="Times New Roman" w:cs="Times New Roman" w:eastAsia="Times New Roman" w:hAnsi="Times New Roman"/>
          <w:sz w:val="19"/>
          <w:szCs w:val="19"/>
          <w:color w:val="auto"/>
        </w:rPr>
        <w:t>ANNEX A TO CERTIFICATE OF TRANSFER</w:t>
      </w:r>
    </w:p>
    <w:p>
      <w:pPr>
        <w:spacing w:after="0" w:line="206" w:lineRule="exact"/>
        <w:rPr>
          <w:sz w:val="20"/>
          <w:szCs w:val="20"/>
          <w:color w:val="auto"/>
        </w:rPr>
      </w:pPr>
    </w:p>
    <w:p>
      <w:pPr>
        <w:ind w:left="360" w:hanging="358"/>
        <w:spacing w:after="0"/>
        <w:tabs>
          <w:tab w:leader="none" w:pos="36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Transferor owns and proposes to transfer the following:</w:t>
      </w:r>
    </w:p>
    <w:p>
      <w:pPr>
        <w:spacing w:after="0" w:line="19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[CHECK ONE OF (a) OR (b)]</w:t>
      </w:r>
    </w:p>
    <w:p>
      <w:pPr>
        <w:spacing w:after="0" w:line="161" w:lineRule="exact"/>
        <w:rPr>
          <w:sz w:val="20"/>
          <w:szCs w:val="20"/>
          <w:color w:val="auto"/>
        </w:rPr>
      </w:pPr>
    </w:p>
    <w:p>
      <w:pPr>
        <w:ind w:left="1060" w:hanging="263"/>
        <w:spacing w:after="0" w:line="219" w:lineRule="exact"/>
        <w:tabs>
          <w:tab w:leader="none" w:pos="1060" w:val="left"/>
        </w:tabs>
        <w:numPr>
          <w:ilvl w:val="1"/>
          <w:numId w:val="189"/>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a beneficial interest in the:</w:t>
      </w:r>
    </w:p>
    <w:p>
      <w:pPr>
        <w:spacing w:after="0" w:line="185" w:lineRule="exact"/>
        <w:rPr>
          <w:rFonts w:ascii="Times New Roman" w:cs="Times New Roman" w:eastAsia="Times New Roman" w:hAnsi="Times New Roman"/>
          <w:sz w:val="19"/>
          <w:szCs w:val="19"/>
          <w:color w:val="auto"/>
        </w:rPr>
      </w:pPr>
    </w:p>
    <w:p>
      <w:pPr>
        <w:ind w:left="1500" w:hanging="385"/>
        <w:spacing w:after="0" w:line="242" w:lineRule="exact"/>
        <w:tabs>
          <w:tab w:leader="none" w:pos="1500" w:val="left"/>
        </w:tabs>
        <w:numPr>
          <w:ilvl w:val="2"/>
          <w:numId w:val="189"/>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144A Global Note (CUSIP __________), or</w:t>
      </w:r>
    </w:p>
    <w:p>
      <w:pPr>
        <w:spacing w:after="0" w:line="169" w:lineRule="exact"/>
        <w:rPr>
          <w:rFonts w:ascii="Times New Roman" w:cs="Times New Roman" w:eastAsia="Times New Roman" w:hAnsi="Times New Roman"/>
          <w:sz w:val="19"/>
          <w:szCs w:val="19"/>
          <w:color w:val="auto"/>
        </w:rPr>
      </w:pPr>
    </w:p>
    <w:p>
      <w:pPr>
        <w:ind w:left="1540" w:hanging="425"/>
        <w:spacing w:after="0" w:line="242" w:lineRule="exact"/>
        <w:tabs>
          <w:tab w:leader="none" w:pos="1540" w:val="left"/>
        </w:tabs>
        <w:numPr>
          <w:ilvl w:val="2"/>
          <w:numId w:val="189"/>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Regulation S Global Note (CUSIP __________), or</w:t>
      </w:r>
    </w:p>
    <w:p>
      <w:pPr>
        <w:spacing w:after="0" w:line="182" w:lineRule="exact"/>
        <w:rPr>
          <w:rFonts w:ascii="Times New Roman" w:cs="Times New Roman" w:eastAsia="Times New Roman" w:hAnsi="Times New Roman"/>
          <w:sz w:val="19"/>
          <w:szCs w:val="19"/>
          <w:color w:val="auto"/>
        </w:rPr>
      </w:pPr>
    </w:p>
    <w:p>
      <w:pPr>
        <w:ind w:left="1600" w:hanging="485"/>
        <w:spacing w:after="0" w:line="242" w:lineRule="exact"/>
        <w:tabs>
          <w:tab w:leader="none" w:pos="1600" w:val="left"/>
        </w:tabs>
        <w:numPr>
          <w:ilvl w:val="2"/>
          <w:numId w:val="189"/>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IAI Global Note (CUSIP __________); or</w:t>
      </w:r>
    </w:p>
    <w:p>
      <w:pPr>
        <w:spacing w:after="0" w:line="182" w:lineRule="exact"/>
        <w:rPr>
          <w:rFonts w:ascii="Times New Roman" w:cs="Times New Roman" w:eastAsia="Times New Roman" w:hAnsi="Times New Roman"/>
          <w:sz w:val="19"/>
          <w:szCs w:val="19"/>
          <w:color w:val="auto"/>
        </w:rPr>
      </w:pPr>
    </w:p>
    <w:p>
      <w:pPr>
        <w:ind w:left="1080" w:hanging="283"/>
        <w:spacing w:after="0" w:line="242" w:lineRule="exact"/>
        <w:tabs>
          <w:tab w:leader="none" w:pos="1080" w:val="left"/>
        </w:tabs>
        <w:numPr>
          <w:ilvl w:val="1"/>
          <w:numId w:val="189"/>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a Restricted Definitive Note.</w:t>
      </w:r>
    </w:p>
    <w:p>
      <w:pPr>
        <w:spacing w:after="0" w:line="234"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Transfer the Transferee will hold:</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[CHECK ONE]</w:t>
      </w:r>
    </w:p>
    <w:p>
      <w:pPr>
        <w:spacing w:after="0" w:line="154" w:lineRule="exact"/>
        <w:rPr>
          <w:sz w:val="20"/>
          <w:szCs w:val="20"/>
          <w:color w:val="auto"/>
        </w:rPr>
      </w:pPr>
    </w:p>
    <w:p>
      <w:pPr>
        <w:ind w:left="1060" w:hanging="263"/>
        <w:spacing w:after="0" w:line="242" w:lineRule="exact"/>
        <w:tabs>
          <w:tab w:leader="none" w:pos="1060" w:val="left"/>
        </w:tabs>
        <w:numPr>
          <w:ilvl w:val="0"/>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a beneficial interest in the:</w:t>
      </w:r>
    </w:p>
    <w:p>
      <w:pPr>
        <w:spacing w:after="0" w:line="182" w:lineRule="exact"/>
        <w:rPr>
          <w:rFonts w:ascii="Times New Roman" w:cs="Times New Roman" w:eastAsia="Times New Roman" w:hAnsi="Times New Roman"/>
          <w:sz w:val="19"/>
          <w:szCs w:val="19"/>
          <w:color w:val="auto"/>
        </w:rPr>
      </w:pPr>
    </w:p>
    <w:p>
      <w:pPr>
        <w:ind w:left="1520" w:hanging="405"/>
        <w:spacing w:after="0" w:line="242" w:lineRule="exact"/>
        <w:tabs>
          <w:tab w:leader="none" w:pos="1520" w:val="left"/>
        </w:tabs>
        <w:numPr>
          <w:ilvl w:val="1"/>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144A Global Note (CUSIP __________), or</w:t>
      </w:r>
    </w:p>
    <w:p>
      <w:pPr>
        <w:spacing w:after="0" w:line="195" w:lineRule="exact"/>
        <w:rPr>
          <w:rFonts w:ascii="Times New Roman" w:cs="Times New Roman" w:eastAsia="Times New Roman" w:hAnsi="Times New Roman"/>
          <w:sz w:val="19"/>
          <w:szCs w:val="19"/>
          <w:color w:val="auto"/>
        </w:rPr>
      </w:pPr>
    </w:p>
    <w:p>
      <w:pPr>
        <w:ind w:left="1560" w:hanging="445"/>
        <w:spacing w:after="0" w:line="242" w:lineRule="exact"/>
        <w:tabs>
          <w:tab w:leader="none" w:pos="1560" w:val="left"/>
        </w:tabs>
        <w:numPr>
          <w:ilvl w:val="1"/>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Regulation S Global Note (CUSIP _________), or</w:t>
      </w:r>
    </w:p>
    <w:p>
      <w:pPr>
        <w:spacing w:after="0" w:line="195" w:lineRule="exact"/>
        <w:rPr>
          <w:rFonts w:ascii="Times New Roman" w:cs="Times New Roman" w:eastAsia="Times New Roman" w:hAnsi="Times New Roman"/>
          <w:sz w:val="19"/>
          <w:szCs w:val="19"/>
          <w:color w:val="auto"/>
        </w:rPr>
      </w:pPr>
    </w:p>
    <w:p>
      <w:pPr>
        <w:ind w:left="1600" w:hanging="485"/>
        <w:spacing w:after="0" w:line="242" w:lineRule="exact"/>
        <w:tabs>
          <w:tab w:leader="none" w:pos="1600" w:val="left"/>
        </w:tabs>
        <w:numPr>
          <w:ilvl w:val="1"/>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IAI Global Note (CUSIP _________); or</w:t>
      </w:r>
    </w:p>
    <w:p>
      <w:pPr>
        <w:spacing w:after="0" w:line="182" w:lineRule="exact"/>
        <w:rPr>
          <w:rFonts w:ascii="Times New Roman" w:cs="Times New Roman" w:eastAsia="Times New Roman" w:hAnsi="Times New Roman"/>
          <w:sz w:val="19"/>
          <w:szCs w:val="19"/>
          <w:color w:val="auto"/>
        </w:rPr>
      </w:pPr>
    </w:p>
    <w:p>
      <w:pPr>
        <w:ind w:left="1580" w:hanging="465"/>
        <w:spacing w:after="0" w:line="242" w:lineRule="exact"/>
        <w:tabs>
          <w:tab w:leader="none" w:pos="1580" w:val="left"/>
        </w:tabs>
        <w:numPr>
          <w:ilvl w:val="1"/>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Unrestricted Global Note (CUSIP _________); or</w:t>
      </w:r>
    </w:p>
    <w:p>
      <w:pPr>
        <w:spacing w:after="0" w:line="195" w:lineRule="exact"/>
        <w:rPr>
          <w:rFonts w:ascii="Times New Roman" w:cs="Times New Roman" w:eastAsia="Times New Roman" w:hAnsi="Times New Roman"/>
          <w:sz w:val="19"/>
          <w:szCs w:val="19"/>
          <w:color w:val="auto"/>
        </w:rPr>
      </w:pPr>
    </w:p>
    <w:p>
      <w:pPr>
        <w:ind w:left="1080" w:hanging="283"/>
        <w:spacing w:after="0" w:line="242" w:lineRule="exact"/>
        <w:tabs>
          <w:tab w:leader="none" w:pos="1080" w:val="left"/>
        </w:tabs>
        <w:numPr>
          <w:ilvl w:val="0"/>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a Restricted Definitive Note; or</w:t>
      </w:r>
    </w:p>
    <w:p>
      <w:pPr>
        <w:spacing w:after="0" w:line="195" w:lineRule="exact"/>
        <w:rPr>
          <w:rFonts w:ascii="Times New Roman" w:cs="Times New Roman" w:eastAsia="Times New Roman" w:hAnsi="Times New Roman"/>
          <w:sz w:val="19"/>
          <w:szCs w:val="19"/>
          <w:color w:val="auto"/>
        </w:rPr>
      </w:pPr>
    </w:p>
    <w:p>
      <w:pPr>
        <w:ind w:left="1060" w:hanging="263"/>
        <w:spacing w:after="0" w:line="242" w:lineRule="exact"/>
        <w:tabs>
          <w:tab w:leader="none" w:pos="1060" w:val="left"/>
        </w:tabs>
        <w:numPr>
          <w:ilvl w:val="0"/>
          <w:numId w:val="191"/>
        </w:numPr>
        <w:rPr>
          <w:rFonts w:ascii="Times New Roman" w:cs="Times New Roman" w:eastAsia="Times New Roman" w:hAnsi="Times New Roman"/>
          <w:sz w:val="19"/>
          <w:szCs w:val="19"/>
          <w:color w:val="auto"/>
        </w:rPr>
      </w:pPr>
      <w:r>
        <w:rPr>
          <w:rFonts w:ascii="MS PGothic" w:cs="MS PGothic" w:eastAsia="MS PGothic" w:hAnsi="MS PGothic"/>
          <w:sz w:val="21"/>
          <w:szCs w:val="21"/>
          <w:color w:val="auto"/>
        </w:rPr>
        <w:t>☐</w:t>
      </w:r>
      <w:r>
        <w:rPr>
          <w:rFonts w:ascii="Times New Roman" w:cs="Times New Roman" w:eastAsia="Times New Roman" w:hAnsi="Times New Roman"/>
          <w:sz w:val="19"/>
          <w:szCs w:val="19"/>
          <w:color w:val="auto"/>
        </w:rPr>
        <w:t xml:space="preserve"> an Unrestricted Definitive Note,</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B-4</w:t>
      </w:r>
    </w:p>
    <w:p>
      <w:pPr>
        <w:sectPr>
          <w:pgSz w:w="11900" w:h="16838" w:orient="portrait"/>
          <w:cols w:equalWidth="0" w:num="1">
            <w:col w:w="9499"/>
          </w:cols>
          <w:pgMar w:left="960" w:top="1389"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color w:val="auto"/>
        </w:rPr>
        <w:t>EXHIBIT 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CERTIFICATE OF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27200 Tourney Road, Suite 200</w:t>
      </w:r>
    </w:p>
    <w:p>
      <w:pPr>
        <w:spacing w:after="0" w:line="232" w:lineRule="auto"/>
        <w:rPr>
          <w:sz w:val="20"/>
          <w:szCs w:val="20"/>
          <w:color w:val="auto"/>
        </w:rPr>
      </w:pPr>
      <w:r>
        <w:rPr>
          <w:rFonts w:ascii="Times New Roman" w:cs="Times New Roman" w:eastAsia="Times New Roman" w:hAnsi="Times New Roman"/>
          <w:sz w:val="19"/>
          <w:szCs w:val="19"/>
          <w:color w:val="auto"/>
        </w:rPr>
        <w:t>Santa Clarita, California 91355</w:t>
      </w:r>
    </w:p>
    <w:p>
      <w:pPr>
        <w:spacing w:after="0" w:line="233" w:lineRule="auto"/>
        <w:rPr>
          <w:sz w:val="20"/>
          <w:szCs w:val="20"/>
          <w:color w:val="auto"/>
        </w:rPr>
      </w:pPr>
      <w:r>
        <w:rPr>
          <w:rFonts w:ascii="Times New Roman" w:cs="Times New Roman" w:eastAsia="Times New Roman" w:hAnsi="Times New Roman"/>
          <w:sz w:val="19"/>
          <w:szCs w:val="19"/>
          <w:color w:val="auto"/>
        </w:rPr>
        <w:t>Facsimile No.: (818) 661-3750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Chief Financial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 South Sixth Street, Suite 1290</w:t>
      </w:r>
    </w:p>
    <w:p>
      <w:pPr>
        <w:spacing w:after="0" w:line="232" w:lineRule="auto"/>
        <w:rPr>
          <w:sz w:val="20"/>
          <w:szCs w:val="20"/>
          <w:color w:val="auto"/>
        </w:rPr>
      </w:pPr>
      <w:r>
        <w:rPr>
          <w:rFonts w:ascii="Times New Roman" w:cs="Times New Roman" w:eastAsia="Times New Roman" w:hAnsi="Times New Roman"/>
          <w:sz w:val="19"/>
          <w:szCs w:val="19"/>
          <w:color w:val="auto"/>
        </w:rPr>
        <w:t>Minneapolis, Minnesota 55402</w:t>
      </w:r>
    </w:p>
    <w:p>
      <w:pPr>
        <w:spacing w:after="0" w:line="233" w:lineRule="auto"/>
        <w:rPr>
          <w:sz w:val="20"/>
          <w:szCs w:val="20"/>
          <w:color w:val="auto"/>
        </w:rPr>
      </w:pPr>
      <w:r>
        <w:rPr>
          <w:rFonts w:ascii="Times New Roman" w:cs="Times New Roman" w:eastAsia="Times New Roman" w:hAnsi="Times New Roman"/>
          <w:sz w:val="19"/>
          <w:szCs w:val="19"/>
          <w:color w:val="auto"/>
        </w:rPr>
        <w:t>Facsimile No.: 612-217-5651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California Resources Corporation, Administrator</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Re: California Resources Corporation 7.125% Senior Notes due 2026</w:t>
      </w:r>
    </w:p>
    <w:p>
      <w:pPr>
        <w:spacing w:after="0" w:line="17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9"/>
          <w:szCs w:val="19"/>
          <w:color w:val="auto"/>
        </w:rPr>
        <w:t>Reference is hereby made to the Indenture, dated as of January 20, 2021 (the “</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among California Resources Corporation, a Delaware corporation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the Guarantors party thereto and Wilmington Trust, National Association, as trustee. Capitalized terms used but not defined herein shall have the meanings given to them in the Indenture.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__________________________ (the “</w:t>
      </w:r>
      <w:r>
        <w:rPr>
          <w:rFonts w:ascii="Times New Roman" w:cs="Times New Roman" w:eastAsia="Times New Roman" w:hAnsi="Times New Roman"/>
          <w:sz w:val="19"/>
          <w:szCs w:val="19"/>
          <w:i w:val="1"/>
          <w:iCs w:val="1"/>
          <w:color w:val="auto"/>
        </w:rPr>
        <w:t>Owner</w:t>
      </w:r>
      <w:r>
        <w:rPr>
          <w:rFonts w:ascii="Times New Roman" w:cs="Times New Roman" w:eastAsia="Times New Roman" w:hAnsi="Times New Roman"/>
          <w:sz w:val="19"/>
          <w:szCs w:val="19"/>
          <w:color w:val="auto"/>
        </w:rPr>
        <w:t>”) owns and proposes to exchange the Note[s] or interest in such Note[s] specified herein,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principal amount of $____________ in such Note[s] or interests (the “</w:t>
      </w:r>
      <w:r>
        <w:rPr>
          <w:rFonts w:ascii="Times New Roman" w:cs="Times New Roman" w:eastAsia="Times New Roman" w:hAnsi="Times New Roman"/>
          <w:sz w:val="19"/>
          <w:szCs w:val="19"/>
          <w:i w:val="1"/>
          <w:iCs w:val="1"/>
          <w:color w:val="auto"/>
        </w:rPr>
        <w:t>Exchange</w:t>
      </w:r>
      <w:r>
        <w:rPr>
          <w:rFonts w:ascii="Times New Roman" w:cs="Times New Roman" w:eastAsia="Times New Roman" w:hAnsi="Times New Roman"/>
          <w:sz w:val="19"/>
          <w:szCs w:val="19"/>
          <w:color w:val="auto"/>
        </w:rPr>
        <w:t>”). In connection with the Exchange, the Owner hereby</w:t>
      </w:r>
    </w:p>
    <w:p>
      <w:pPr>
        <w:spacing w:after="0"/>
        <w:rPr>
          <w:sz w:val="20"/>
          <w:szCs w:val="20"/>
          <w:color w:val="auto"/>
        </w:rPr>
      </w:pPr>
      <w:r>
        <w:rPr>
          <w:rFonts w:ascii="Times New Roman" w:cs="Times New Roman" w:eastAsia="Times New Roman" w:hAnsi="Times New Roman"/>
          <w:sz w:val="19"/>
          <w:szCs w:val="19"/>
          <w:color w:val="auto"/>
        </w:rPr>
        <w:t>certifies that:</w:t>
      </w:r>
    </w:p>
    <w:p>
      <w:pPr>
        <w:spacing w:after="0" w:line="166" w:lineRule="exact"/>
        <w:rPr>
          <w:sz w:val="20"/>
          <w:szCs w:val="20"/>
          <w:color w:val="auto"/>
        </w:rPr>
      </w:pPr>
    </w:p>
    <w:p>
      <w:pPr>
        <w:ind w:firstLine="642"/>
        <w:spacing w:after="0" w:line="275" w:lineRule="auto"/>
        <w:tabs>
          <w:tab w:leader="none" w:pos="976"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82" w:lineRule="exact"/>
        <w:rPr>
          <w:sz w:val="20"/>
          <w:szCs w:val="20"/>
          <w:color w:val="auto"/>
        </w:rPr>
      </w:pPr>
    </w:p>
    <w:p>
      <w:pPr>
        <w:jc w:val="both"/>
        <w:ind w:firstLine="642"/>
        <w:spacing w:after="0" w:line="221" w:lineRule="exact"/>
        <w:tabs>
          <w:tab w:leader="none" w:pos="900" w:val="left"/>
        </w:tabs>
        <w:numPr>
          <w:ilvl w:val="1"/>
          <w:numId w:val="193"/>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9"/>
          <w:szCs w:val="19"/>
          <w:color w:val="auto"/>
        </w:rPr>
        <w:t>. In connection with the Exchange of the Owner’s beneficial interest in a Restricted Global Note for a beneficial interest in an Unrestricted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 other than Rule 144,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32" w:lineRule="exact"/>
        <w:rPr>
          <w:rFonts w:ascii="Times New Roman" w:cs="Times New Roman" w:eastAsia="Times New Roman" w:hAnsi="Times New Roman"/>
          <w:sz w:val="19"/>
          <w:szCs w:val="19"/>
          <w:color w:val="auto"/>
        </w:rPr>
      </w:pPr>
    </w:p>
    <w:p>
      <w:pPr>
        <w:jc w:val="both"/>
        <w:ind w:firstLine="642"/>
        <w:spacing w:after="0" w:line="239" w:lineRule="exact"/>
        <w:tabs>
          <w:tab w:leader="none" w:pos="924" w:val="left"/>
        </w:tabs>
        <w:numPr>
          <w:ilvl w:val="1"/>
          <w:numId w:val="193"/>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9"/>
          <w:szCs w:val="19"/>
          <w:color w:val="auto"/>
        </w:rPr>
        <w:t>. In connection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Exchange of the Owner’s beneficial interest in a Restricted Global Note for an Unrestricted Definitive Note, the Owner hereby certifies</w:t>
      </w:r>
    </w:p>
    <w:p>
      <w:pPr>
        <w:jc w:val="both"/>
        <w:ind w:firstLine="6"/>
        <w:spacing w:after="0" w:line="232" w:lineRule="auto"/>
        <w:tabs>
          <w:tab w:leader="none" w:pos="234"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Definitive Note is being acquired for the Owner’s own account without transfer, (ii) such Exchange has been effected in compliance with the transfer restrictions applicable to the Restricted Global Notes and pursuant to and in accordance with the Securities Act other than Rule 144,</w:t>
      </w:r>
    </w:p>
    <w:p>
      <w:pPr>
        <w:spacing w:after="0" w:line="1" w:lineRule="exact"/>
        <w:rPr>
          <w:rFonts w:ascii="Times New Roman" w:cs="Times New Roman" w:eastAsia="Times New Roman" w:hAnsi="Times New Roman"/>
          <w:sz w:val="19"/>
          <w:szCs w:val="19"/>
          <w:color w:val="auto"/>
        </w:rPr>
      </w:pPr>
    </w:p>
    <w:p>
      <w:pPr>
        <w:jc w:val="both"/>
        <w:ind w:firstLine="6"/>
        <w:spacing w:after="0" w:line="239" w:lineRule="auto"/>
        <w:tabs>
          <w:tab w:leader="none" w:pos="352"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C-1</w:t>
      </w:r>
    </w:p>
    <w:p>
      <w:pPr>
        <w:sectPr>
          <w:pgSz w:w="11900" w:h="16838" w:orient="portrait"/>
          <w:cols w:equalWidth="0" w:num="1">
            <w:col w:w="11240"/>
          </w:cols>
          <w:pgMar w:left="320" w:top="1384" w:right="339" w:bottom="1440" w:gutter="0" w:footer="0" w:header="0"/>
        </w:sectPr>
      </w:pPr>
    </w:p>
    <w:bookmarkStart w:id="144" w:name="page145"/>
    <w:bookmarkEnd w:id="144"/>
    <w:p>
      <w:pPr>
        <w:spacing w:after="0" w:line="117" w:lineRule="exact"/>
        <w:rPr>
          <w:sz w:val="20"/>
          <w:szCs w:val="20"/>
          <w:color w:val="auto"/>
        </w:rPr>
      </w:pPr>
    </w:p>
    <w:p>
      <w:pPr>
        <w:jc w:val="both"/>
        <w:ind w:firstLine="642"/>
        <w:spacing w:after="0" w:line="239" w:lineRule="exact"/>
        <w:tabs>
          <w:tab w:leader="none" w:pos="900" w:val="left"/>
        </w:tabs>
        <w:numPr>
          <w:ilvl w:val="1"/>
          <w:numId w:val="196"/>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9"/>
          <w:szCs w:val="19"/>
          <w:color w:val="auto"/>
        </w:rPr>
        <w:t>. In connection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Owner’s Exchange of a Restricted Definitive Note for a beneficial interest in an Unrestricted Global Note, the Owner hereby certifies</w:t>
      </w:r>
    </w:p>
    <w:p>
      <w:pPr>
        <w:jc w:val="both"/>
        <w:ind w:firstLine="6"/>
        <w:spacing w:after="0" w:line="237" w:lineRule="auto"/>
        <w:tabs>
          <w:tab w:leader="none" w:pos="245"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beneficial interest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13" w:lineRule="exact"/>
        <w:rPr>
          <w:rFonts w:ascii="Times New Roman" w:cs="Times New Roman" w:eastAsia="Times New Roman" w:hAnsi="Times New Roman"/>
          <w:sz w:val="19"/>
          <w:szCs w:val="19"/>
          <w:color w:val="auto"/>
        </w:rPr>
      </w:pPr>
    </w:p>
    <w:p>
      <w:pPr>
        <w:jc w:val="both"/>
        <w:ind w:firstLine="642"/>
        <w:spacing w:after="0" w:line="224" w:lineRule="exact"/>
        <w:tabs>
          <w:tab w:leader="none" w:pos="937" w:val="left"/>
        </w:tabs>
        <w:numPr>
          <w:ilvl w:val="1"/>
          <w:numId w:val="197"/>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Exchange is from Restricted Definitive Note to Unrestricted Definitive Note</w:t>
      </w:r>
      <w:r>
        <w:rPr>
          <w:rFonts w:ascii="Times New Roman" w:cs="Times New Roman" w:eastAsia="Times New Roman" w:hAnsi="Times New Roman"/>
          <w:sz w:val="19"/>
          <w:szCs w:val="19"/>
          <w:color w:val="auto"/>
        </w:rPr>
        <w:t>. In connection with the Owner’s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372" w:lineRule="exact"/>
        <w:rPr>
          <w:sz w:val="20"/>
          <w:szCs w:val="20"/>
          <w:color w:val="auto"/>
        </w:rPr>
      </w:pPr>
    </w:p>
    <w:p>
      <w:pPr>
        <w:ind w:firstLine="642"/>
        <w:spacing w:after="0" w:line="275" w:lineRule="auto"/>
        <w:tabs>
          <w:tab w:leader="none" w:pos="989"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95" w:lineRule="exact"/>
        <w:rPr>
          <w:sz w:val="20"/>
          <w:szCs w:val="20"/>
          <w:color w:val="auto"/>
        </w:rPr>
      </w:pPr>
    </w:p>
    <w:p>
      <w:pPr>
        <w:jc w:val="both"/>
        <w:ind w:firstLine="642"/>
        <w:spacing w:after="0" w:line="224" w:lineRule="exact"/>
        <w:tabs>
          <w:tab w:leader="none" w:pos="900" w:val="left"/>
        </w:tabs>
        <w:numPr>
          <w:ilvl w:val="0"/>
          <w:numId w:val="199"/>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9"/>
          <w:szCs w:val="19"/>
          <w:color w:val="auto"/>
        </w:rPr>
        <w:t>In connection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13" w:lineRule="exact"/>
        <w:rPr>
          <w:rFonts w:ascii="Times New Roman" w:cs="Times New Roman" w:eastAsia="Times New Roman" w:hAnsi="Times New Roman"/>
          <w:sz w:val="19"/>
          <w:szCs w:val="19"/>
          <w:color w:val="auto"/>
        </w:rPr>
      </w:pPr>
    </w:p>
    <w:p>
      <w:pPr>
        <w:jc w:val="both"/>
        <w:ind w:firstLine="642"/>
        <w:spacing w:after="0" w:line="221" w:lineRule="exact"/>
        <w:tabs>
          <w:tab w:leader="none" w:pos="911" w:val="left"/>
        </w:tabs>
        <w:numPr>
          <w:ilvl w:val="0"/>
          <w:numId w:val="199"/>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9"/>
          <w:szCs w:val="19"/>
          <w:color w:val="auto"/>
        </w:rPr>
        <w:t>. In connection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Exchange of the Owner’s Restricted Definitive Note for a beneficial interest in the [CHECK ONE]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144A Global Note,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Regulation S Global Note,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other than Rule 144,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Issuer.</w:t>
      </w:r>
    </w:p>
    <w:p>
      <w:pPr>
        <w:spacing w:after="0" w:line="1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[Insert Name of Transferor]</w:t>
      </w:r>
    </w:p>
    <w:p>
      <w:pPr>
        <w:spacing w:after="0" w:line="35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21"/>
          <w:szCs w:val="21"/>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C-2</w:t>
      </w:r>
    </w:p>
    <w:p>
      <w:pPr>
        <w:sectPr>
          <w:pgSz w:w="11900" w:h="16838" w:orient="portrait"/>
          <w:cols w:equalWidth="0" w:num="1">
            <w:col w:w="11240"/>
          </w:cols>
          <w:pgMar w:left="320" w:top="1440" w:right="339" w:bottom="1440" w:gutter="0" w:footer="0" w:header="0"/>
        </w:sectPr>
      </w:pPr>
    </w:p>
    <w:bookmarkStart w:id="145" w:name="page146"/>
    <w:bookmarkEnd w:id="145"/>
    <w:p>
      <w:pPr>
        <w:ind w:left="3500"/>
        <w:spacing w:after="0"/>
        <w:rPr>
          <w:sz w:val="20"/>
          <w:szCs w:val="20"/>
          <w:color w:val="auto"/>
        </w:rPr>
      </w:pPr>
      <w:r>
        <w:rPr>
          <w:rFonts w:ascii="Times New Roman" w:cs="Times New Roman" w:eastAsia="Times New Roman" w:hAnsi="Times New Roman"/>
          <w:sz w:val="19"/>
          <w:szCs w:val="19"/>
          <w:color w:val="auto"/>
        </w:rPr>
        <w:t>Name:</w:t>
      </w:r>
    </w:p>
    <w:p>
      <w:pPr>
        <w:spacing w:after="0" w:line="1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Title: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9499"/>
          </w:cols>
          <w:pgMar w:left="960" w:top="1389"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1"/>
          <w:szCs w:val="21"/>
          <w:color w:val="auto"/>
        </w:rPr>
        <w:t>EXHIBIT 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CERTIFICATE FROM</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ACQUIRING INSTITUTIONAL ACCREDITED INVESTOR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27200 Tourney Road, Suite 200</w:t>
      </w:r>
    </w:p>
    <w:p>
      <w:pPr>
        <w:spacing w:after="0" w:line="232" w:lineRule="auto"/>
        <w:rPr>
          <w:sz w:val="20"/>
          <w:szCs w:val="20"/>
          <w:color w:val="auto"/>
        </w:rPr>
      </w:pPr>
      <w:r>
        <w:rPr>
          <w:rFonts w:ascii="Times New Roman" w:cs="Times New Roman" w:eastAsia="Times New Roman" w:hAnsi="Times New Roman"/>
          <w:sz w:val="19"/>
          <w:szCs w:val="19"/>
          <w:color w:val="auto"/>
        </w:rPr>
        <w:t>Santa Clarita, California 91355</w:t>
      </w:r>
    </w:p>
    <w:p>
      <w:pPr>
        <w:spacing w:after="0" w:line="233" w:lineRule="auto"/>
        <w:rPr>
          <w:sz w:val="20"/>
          <w:szCs w:val="20"/>
          <w:color w:val="auto"/>
        </w:rPr>
      </w:pPr>
      <w:r>
        <w:rPr>
          <w:rFonts w:ascii="Times New Roman" w:cs="Times New Roman" w:eastAsia="Times New Roman" w:hAnsi="Times New Roman"/>
          <w:sz w:val="19"/>
          <w:szCs w:val="19"/>
          <w:color w:val="auto"/>
        </w:rPr>
        <w:t>Facsimile No.: (818) 661-3750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Chief Financial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 South Sixth Street, Suite 1290</w:t>
      </w:r>
    </w:p>
    <w:p>
      <w:pPr>
        <w:spacing w:after="0" w:line="232" w:lineRule="auto"/>
        <w:rPr>
          <w:sz w:val="20"/>
          <w:szCs w:val="20"/>
          <w:color w:val="auto"/>
        </w:rPr>
      </w:pPr>
      <w:r>
        <w:rPr>
          <w:rFonts w:ascii="Times New Roman" w:cs="Times New Roman" w:eastAsia="Times New Roman" w:hAnsi="Times New Roman"/>
          <w:sz w:val="19"/>
          <w:szCs w:val="19"/>
          <w:color w:val="auto"/>
        </w:rPr>
        <w:t>Minneapolis, Minnesota 55402</w:t>
      </w:r>
    </w:p>
    <w:p>
      <w:pPr>
        <w:spacing w:after="0" w:line="233" w:lineRule="auto"/>
        <w:rPr>
          <w:sz w:val="20"/>
          <w:szCs w:val="20"/>
          <w:color w:val="auto"/>
        </w:rPr>
      </w:pPr>
      <w:r>
        <w:rPr>
          <w:rFonts w:ascii="Times New Roman" w:cs="Times New Roman" w:eastAsia="Times New Roman" w:hAnsi="Times New Roman"/>
          <w:sz w:val="19"/>
          <w:szCs w:val="19"/>
          <w:color w:val="auto"/>
        </w:rPr>
        <w:t>Facsimile No.: 612-217-5651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California Resources Corporation, Administrator</w:t>
      </w: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Re: California Resources Corporation 7.125% Senior Notes due 2026</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9"/>
          <w:szCs w:val="19"/>
          <w:color w:val="auto"/>
        </w:rPr>
        <w:t>Reference is hereby made to the Indenture, dated as of January 20, 2021 (the “</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among California Resources Corporation, a Delaware corporation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the Guarantors party thereto and Wilmington Trust, National Association, as trustee. Capitalized terms used but not defined herein shall have the meanings given to them in the Indenture.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connection with our proposed purchase of $____________ aggregate principal amount of:</w:t>
      </w:r>
    </w:p>
    <w:p>
      <w:pPr>
        <w:spacing w:after="0" w:line="148" w:lineRule="exact"/>
        <w:rPr>
          <w:sz w:val="20"/>
          <w:szCs w:val="20"/>
          <w:color w:val="auto"/>
        </w:rPr>
      </w:pPr>
    </w:p>
    <w:p>
      <w:pPr>
        <w:ind w:left="900" w:hanging="258"/>
        <w:spacing w:after="0" w:line="219" w:lineRule="exact"/>
        <w:tabs>
          <w:tab w:leader="none" w:pos="900" w:val="left"/>
        </w:tabs>
        <w:numPr>
          <w:ilvl w:val="0"/>
          <w:numId w:val="200"/>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a beneficial interest in a Global Note, or</w:t>
      </w:r>
    </w:p>
    <w:p>
      <w:pPr>
        <w:spacing w:after="0" w:line="192" w:lineRule="exact"/>
        <w:rPr>
          <w:rFonts w:ascii="Times New Roman" w:cs="Times New Roman" w:eastAsia="Times New Roman" w:hAnsi="Times New Roman"/>
          <w:sz w:val="19"/>
          <w:szCs w:val="19"/>
          <w:color w:val="auto"/>
        </w:rPr>
      </w:pPr>
    </w:p>
    <w:p>
      <w:pPr>
        <w:ind w:left="920" w:hanging="278"/>
        <w:spacing w:after="0" w:line="219" w:lineRule="exact"/>
        <w:tabs>
          <w:tab w:leader="none" w:pos="920" w:val="left"/>
        </w:tabs>
        <w:numPr>
          <w:ilvl w:val="0"/>
          <w:numId w:val="200"/>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a Definitive Note,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we confirm that:</w:t>
      </w:r>
    </w:p>
    <w:p>
      <w:pPr>
        <w:spacing w:after="0" w:line="179" w:lineRule="exact"/>
        <w:rPr>
          <w:sz w:val="20"/>
          <w:szCs w:val="20"/>
          <w:color w:val="auto"/>
        </w:rPr>
      </w:pPr>
    </w:p>
    <w:p>
      <w:pPr>
        <w:jc w:val="both"/>
        <w:ind w:firstLine="642"/>
        <w:spacing w:after="0" w:line="251" w:lineRule="auto"/>
        <w:tabs>
          <w:tab w:leader="none" w:pos="101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color w:val="auto"/>
        </w:rPr>
      </w:pPr>
    </w:p>
    <w:p>
      <w:pPr>
        <w:jc w:val="both"/>
        <w:ind w:firstLine="642"/>
        <w:spacing w:after="0" w:line="236" w:lineRule="auto"/>
        <w:tabs>
          <w:tab w:leader="none" w:pos="1025"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 (D) outside the United States in accordance with Rule 904 of Regulation S under the Securities Act, (E) pursuant to another available exemption from the registration requirements of the Securities Act other than Rule 144 under the Securities Act or (F) pursuant to an effective registration statement under the Securities Act, and we further agree to provide to any Person purchasing the Definitive Note or beneficial interest in 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D-1</w:t>
      </w:r>
    </w:p>
    <w:p>
      <w:pPr>
        <w:sectPr>
          <w:pgSz w:w="11900" w:h="16838" w:orient="portrait"/>
          <w:cols w:equalWidth="0" w:num="1">
            <w:col w:w="11240"/>
          </w:cols>
          <w:pgMar w:left="320" w:top="1384" w:right="339" w:bottom="1440" w:gutter="0" w:footer="0" w:header="0"/>
        </w:sectPr>
      </w:pPr>
    </w:p>
    <w:bookmarkStart w:id="147" w:name="page148"/>
    <w:bookmarkEnd w:id="147"/>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Note from us in a transaction meeting the requirements of clauses (A) through (E) of this paragraph a notice advising such purchaser that resales thereof are restricted as stated herein. Notwithstanding anything to the contrary, transfers pursuant to Rule 144 under the Securities Act will not be permitted, even if legally available.3.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60" w:lineRule="exact"/>
        <w:rPr>
          <w:sz w:val="20"/>
          <w:szCs w:val="20"/>
          <w:color w:val="auto"/>
        </w:rPr>
      </w:pPr>
    </w:p>
    <w:p>
      <w:pPr>
        <w:jc w:val="both"/>
        <w:ind w:firstLine="642"/>
        <w:spacing w:after="0" w:line="251" w:lineRule="auto"/>
        <w:tabs>
          <w:tab w:leader="none" w:pos="1007"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62" w:lineRule="exact"/>
        <w:rPr>
          <w:rFonts w:ascii="Times New Roman" w:cs="Times New Roman" w:eastAsia="Times New Roman" w:hAnsi="Times New Roman"/>
          <w:sz w:val="19"/>
          <w:szCs w:val="19"/>
          <w:color w:val="auto"/>
        </w:rPr>
      </w:pPr>
    </w:p>
    <w:p>
      <w:pPr>
        <w:ind w:firstLine="642"/>
        <w:spacing w:after="0" w:line="270" w:lineRule="auto"/>
        <w:tabs>
          <w:tab w:leader="none" w:pos="1007"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1"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3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[Insert Name of Accredited Investor]</w:t>
      </w:r>
    </w:p>
    <w:p>
      <w:pPr>
        <w:spacing w:after="0" w:line="3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21"/>
          <w:szCs w:val="21"/>
          <w:color w:val="auto"/>
        </w:rPr>
        <w:t>______________________________________</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D-2</w:t>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1"/>
          <w:szCs w:val="21"/>
          <w:color w:val="auto"/>
        </w:rPr>
        <w:t>EXHIBIT 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SUPPLEMENTAL INDENTURE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 BE DELIVERED BY SUBSEQUENT GUARANTORS]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Supplemental  Indenture  (this  “</w:t>
      </w:r>
      <w:r>
        <w:rPr>
          <w:rFonts w:ascii="Times New Roman" w:cs="Times New Roman" w:eastAsia="Times New Roman" w:hAnsi="Times New Roman"/>
          <w:sz w:val="19"/>
          <w:szCs w:val="19"/>
          <w:i w:val="1"/>
          <w:iCs w:val="1"/>
          <w:color w:val="auto"/>
        </w:rPr>
        <w:t>Supplemental  Indenture</w:t>
      </w:r>
      <w:r>
        <w:rPr>
          <w:rFonts w:ascii="Times New Roman" w:cs="Times New Roman" w:eastAsia="Times New Roman" w:hAnsi="Times New Roman"/>
          <w:sz w:val="19"/>
          <w:szCs w:val="19"/>
          <w:color w:val="auto"/>
        </w:rPr>
        <w:t>”),  dated  as  of  ________________,  among  __________________  (the</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Guaranteeing Subsidiary</w:t>
      </w:r>
      <w:r>
        <w:rPr>
          <w:rFonts w:ascii="Times New Roman" w:cs="Times New Roman" w:eastAsia="Times New Roman" w:hAnsi="Times New Roman"/>
          <w:sz w:val="19"/>
          <w:szCs w:val="19"/>
          <w:color w:val="auto"/>
        </w:rPr>
        <w:t>”), a subsidiary of California Resources Corporation, a Delaware corporation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the other Guarantors (as defined in the Indenture referred to herein) and Wilmington Trust, National Association, as trustee under the Indenture referred to below (the “</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WITNESSETH</w:t>
      </w:r>
    </w:p>
    <w:p>
      <w:pPr>
        <w:spacing w:after="0" w:line="190"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WHEREAS, the Issuer has heretofore executed and delivered to the Trustee an indenture (the “</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dated as of January 20, 2021 providing for the issuance of 7.125% Senior Notes due 2026 (the “</w:t>
      </w: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w:t>
      </w:r>
    </w:p>
    <w:p>
      <w:pPr>
        <w:spacing w:after="0" w:line="11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9"/>
          <w:szCs w:val="19"/>
          <w:i w:val="1"/>
          <w:iCs w:val="1"/>
          <w:color w:val="auto"/>
        </w:rPr>
        <w:t>Guarantee</w:t>
      </w:r>
      <w:r>
        <w:rPr>
          <w:rFonts w:ascii="Times New Roman" w:cs="Times New Roman" w:eastAsia="Times New Roman" w:hAnsi="Times New Roman"/>
          <w:sz w:val="19"/>
          <w:szCs w:val="19"/>
          <w:color w:val="auto"/>
        </w:rPr>
        <w:t>”); and</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pursuant to Section 9.01 of the Indenture, the Trustee is authorized to execute and deliver this Supplemental Indenture.</w:t>
      </w:r>
    </w:p>
    <w:p>
      <w:pPr>
        <w:spacing w:after="0" w:line="19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Guaranteeing Subsidiary, the other Guarantors, the Issuer and the Trustee mutually covenant and agree for the equal and ratable benefit of the Holders of the Notes as follows:</w:t>
      </w:r>
    </w:p>
    <w:p>
      <w:pPr>
        <w:spacing w:after="0" w:line="136" w:lineRule="exact"/>
        <w:rPr>
          <w:sz w:val="20"/>
          <w:szCs w:val="20"/>
          <w:color w:val="auto"/>
        </w:rPr>
      </w:pPr>
    </w:p>
    <w:p>
      <w:pPr>
        <w:ind w:left="980" w:hanging="338"/>
        <w:spacing w:after="0"/>
        <w:tabs>
          <w:tab w:leader="none" w:pos="98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Capitalized Terms. Capitalized terms used herein without definition shall have the meanings assigned to them in the Indenture.</w:t>
      </w:r>
    </w:p>
    <w:p>
      <w:pPr>
        <w:spacing w:after="0" w:line="192" w:lineRule="exact"/>
        <w:rPr>
          <w:rFonts w:ascii="Times New Roman" w:cs="Times New Roman" w:eastAsia="Times New Roman" w:hAnsi="Times New Roman"/>
          <w:sz w:val="19"/>
          <w:szCs w:val="19"/>
          <w:color w:val="auto"/>
        </w:rPr>
      </w:pPr>
    </w:p>
    <w:p>
      <w:pPr>
        <w:ind w:firstLine="642"/>
        <w:spacing w:after="0" w:line="270" w:lineRule="auto"/>
        <w:tabs>
          <w:tab w:leader="none" w:pos="992"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The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31" w:lineRule="exact"/>
        <w:rPr>
          <w:rFonts w:ascii="Times New Roman" w:cs="Times New Roman" w:eastAsia="Times New Roman" w:hAnsi="Times New Roman"/>
          <w:sz w:val="19"/>
          <w:szCs w:val="19"/>
          <w:color w:val="auto"/>
        </w:rPr>
      </w:pPr>
    </w:p>
    <w:p>
      <w:pPr>
        <w:jc w:val="both"/>
        <w:ind w:firstLine="642"/>
        <w:spacing w:after="0" w:line="242" w:lineRule="auto"/>
        <w:tabs>
          <w:tab w:leader="none" w:pos="1065"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364" w:lineRule="exact"/>
        <w:rPr>
          <w:rFonts w:ascii="Times New Roman" w:cs="Times New Roman" w:eastAsia="Times New Roman" w:hAnsi="Times New Roman"/>
          <w:sz w:val="19"/>
          <w:szCs w:val="19"/>
          <w:color w:val="auto"/>
        </w:rPr>
      </w:pPr>
    </w:p>
    <w:p>
      <w:pPr>
        <w:jc w:val="both"/>
        <w:ind w:firstLine="642"/>
        <w:spacing w:after="0" w:line="251" w:lineRule="auto"/>
        <w:tabs>
          <w:tab w:leader="none" w:pos="1185"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49" w:lineRule="exact"/>
        <w:rPr>
          <w:rFonts w:ascii="Times New Roman" w:cs="Times New Roman" w:eastAsia="Times New Roman" w:hAnsi="Times New Roman"/>
          <w:sz w:val="19"/>
          <w:szCs w:val="19"/>
          <w:color w:val="auto"/>
        </w:rPr>
      </w:pPr>
    </w:p>
    <w:p>
      <w:pPr>
        <w:ind w:firstLine="642"/>
        <w:spacing w:after="0" w:line="270" w:lineRule="auto"/>
        <w:tabs>
          <w:tab w:leader="none" w:pos="978"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Counterparts. The parties may sign any number of copies of this Supplemental Indenture. Each signed copy shall be an original, but all of them together represent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E-1</w:t>
      </w:r>
    </w:p>
    <w:p>
      <w:pPr>
        <w:sectPr>
          <w:pgSz w:w="11900" w:h="16838" w:orient="portrait"/>
          <w:cols w:equalWidth="0" w:num="1">
            <w:col w:w="11240"/>
          </w:cols>
          <w:pgMar w:left="320" w:top="1384" w:right="339" w:bottom="1440" w:gutter="0" w:footer="0" w:header="0"/>
        </w:sectPr>
      </w:pPr>
    </w:p>
    <w:bookmarkStart w:id="149" w:name="page150"/>
    <w:bookmarkEnd w:id="149"/>
    <w:p>
      <w:pPr>
        <w:spacing w:after="0" w:line="148" w:lineRule="exact"/>
        <w:rPr>
          <w:sz w:val="20"/>
          <w:szCs w:val="20"/>
          <w:color w:val="auto"/>
        </w:rPr>
      </w:pPr>
    </w:p>
    <w:p>
      <w:pPr>
        <w:ind w:left="980" w:hanging="338"/>
        <w:spacing w:after="0"/>
        <w:tabs>
          <w:tab w:leader="none" w:pos="98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 of Headings. The Section headings herein are for convenience only and shall not affect the construction hereof.</w:t>
      </w:r>
    </w:p>
    <w:p>
      <w:pPr>
        <w:spacing w:after="0" w:line="179" w:lineRule="exact"/>
        <w:rPr>
          <w:rFonts w:ascii="Times New Roman" w:cs="Times New Roman" w:eastAsia="Times New Roman" w:hAnsi="Times New Roman"/>
          <w:sz w:val="19"/>
          <w:szCs w:val="19"/>
          <w:color w:val="auto"/>
        </w:rPr>
      </w:pPr>
    </w:p>
    <w:p>
      <w:pPr>
        <w:jc w:val="both"/>
        <w:ind w:firstLine="642"/>
        <w:spacing w:after="0" w:line="251" w:lineRule="auto"/>
        <w:tabs>
          <w:tab w:leader="none" w:pos="1013"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the other Guarantors and the Issuer.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8" w:lineRule="exact"/>
        <w:rPr>
          <w:sz w:val="20"/>
          <w:szCs w:val="20"/>
          <w:color w:val="auto"/>
        </w:rPr>
      </w:pPr>
    </w:p>
    <w:p>
      <w:pPr>
        <w:ind w:firstLine="636"/>
        <w:spacing w:after="0" w:line="270" w:lineRule="auto"/>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executed and attested, all as of the date first above written.</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Dated: _______________</w:t>
      </w:r>
    </w:p>
    <w:p>
      <w:pPr>
        <w:spacing w:after="0" w:line="1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Guaranteeing Subsidiary</w:t>
      </w:r>
      <w:r>
        <w:rPr>
          <w:rFonts w:ascii="Times New Roman" w:cs="Times New Roman" w:eastAsia="Times New Roman" w:hAnsi="Times New Roman"/>
          <w:sz w:val="19"/>
          <w:szCs w:val="19"/>
          <w:color w:val="auto"/>
        </w:rPr>
        <w:t>]</w:t>
      </w:r>
    </w:p>
    <w:p>
      <w:pPr>
        <w:spacing w:after="0" w:line="3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_______________________________</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1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CALIFORNIA RESOURCES CORPORATION</w:t>
      </w:r>
    </w:p>
    <w:p>
      <w:pPr>
        <w:spacing w:after="0" w:line="200" w:lineRule="exact"/>
        <w:rPr>
          <w:sz w:val="20"/>
          <w:szCs w:val="20"/>
          <w:color w:val="auto"/>
        </w:rPr>
      </w:pPr>
    </w:p>
    <w:p>
      <w:pPr>
        <w:spacing w:after="0" w:line="3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_______________________________</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17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1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As Trustee</w:t>
      </w:r>
    </w:p>
    <w:p>
      <w:pPr>
        <w:spacing w:after="0" w:line="35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_______________________________</w:t>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E-3</w:t>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4.2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FIRST SUPPLEMENTAL INDENTURE</w:t>
      </w:r>
    </w:p>
    <w:p>
      <w:pPr>
        <w:spacing w:after="0" w:line="169"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21"/>
          <w:szCs w:val="21"/>
          <w:color w:val="auto"/>
        </w:rPr>
        <w:t>FIRST SUPPLEMENTAL INDENTURE (this “</w:t>
      </w:r>
      <w:r>
        <w:rPr>
          <w:rFonts w:ascii="Times New Roman" w:cs="Times New Roman" w:eastAsia="Times New Roman" w:hAnsi="Times New Roman"/>
          <w:sz w:val="21"/>
          <w:szCs w:val="21"/>
          <w:b w:val="1"/>
          <w:bCs w:val="1"/>
          <w:i w:val="1"/>
          <w:iCs w:val="1"/>
          <w:color w:val="auto"/>
        </w:rPr>
        <w:t>Supplemental Indenture</w:t>
      </w:r>
      <w:r>
        <w:rPr>
          <w:rFonts w:ascii="Times New Roman" w:cs="Times New Roman" w:eastAsia="Times New Roman" w:hAnsi="Times New Roman"/>
          <w:sz w:val="21"/>
          <w:szCs w:val="21"/>
          <w:color w:val="auto"/>
        </w:rPr>
        <w:t>”), dated as of January 20, 2021, among Elk Hills Power, LLC, a Delaware limited liability company (“</w:t>
      </w:r>
      <w:r>
        <w:rPr>
          <w:rFonts w:ascii="Times New Roman" w:cs="Times New Roman" w:eastAsia="Times New Roman" w:hAnsi="Times New Roman"/>
          <w:sz w:val="21"/>
          <w:szCs w:val="21"/>
          <w:b w:val="1"/>
          <w:bCs w:val="1"/>
          <w:i w:val="1"/>
          <w:iCs w:val="1"/>
          <w:color w:val="auto"/>
        </w:rPr>
        <w:t>EHP</w:t>
      </w:r>
      <w:r>
        <w:rPr>
          <w:rFonts w:ascii="Times New Roman" w:cs="Times New Roman" w:eastAsia="Times New Roman" w:hAnsi="Times New Roman"/>
          <w:sz w:val="21"/>
          <w:szCs w:val="21"/>
          <w:color w:val="auto"/>
        </w:rPr>
        <w:t>”), EHP Midco Holding Company, LLC, a Delaware limited liability company (“</w:t>
      </w:r>
      <w:r>
        <w:rPr>
          <w:rFonts w:ascii="Times New Roman" w:cs="Times New Roman" w:eastAsia="Times New Roman" w:hAnsi="Times New Roman"/>
          <w:sz w:val="21"/>
          <w:szCs w:val="21"/>
          <w:b w:val="1"/>
          <w:bCs w:val="1"/>
          <w:i w:val="1"/>
          <w:iCs w:val="1"/>
          <w:color w:val="auto"/>
        </w:rPr>
        <w:t>EHP Midco</w:t>
      </w:r>
      <w:r>
        <w:rPr>
          <w:rFonts w:ascii="Times New Roman" w:cs="Times New Roman" w:eastAsia="Times New Roman" w:hAnsi="Times New Roman"/>
          <w:sz w:val="21"/>
          <w:szCs w:val="21"/>
          <w:color w:val="auto"/>
        </w:rPr>
        <w:t>”), EHP Topco Holding Company, LLC, a Delaware limited liability company (“</w:t>
      </w:r>
      <w:r>
        <w:rPr>
          <w:rFonts w:ascii="Times New Roman" w:cs="Times New Roman" w:eastAsia="Times New Roman" w:hAnsi="Times New Roman"/>
          <w:sz w:val="21"/>
          <w:szCs w:val="21"/>
          <w:b w:val="1"/>
          <w:bCs w:val="1"/>
          <w:i w:val="1"/>
          <w:iCs w:val="1"/>
          <w:color w:val="auto"/>
        </w:rPr>
        <w:t>EHP Topco</w:t>
      </w:r>
      <w:r>
        <w:rPr>
          <w:rFonts w:ascii="Times New Roman" w:cs="Times New Roman" w:eastAsia="Times New Roman" w:hAnsi="Times New Roman"/>
          <w:sz w:val="21"/>
          <w:szCs w:val="21"/>
          <w:color w:val="auto"/>
        </w:rPr>
        <w:t>” and together with EHP and EHP Midco, the “</w:t>
      </w:r>
      <w:r>
        <w:rPr>
          <w:rFonts w:ascii="Times New Roman" w:cs="Times New Roman" w:eastAsia="Times New Roman" w:hAnsi="Times New Roman"/>
          <w:sz w:val="21"/>
          <w:szCs w:val="21"/>
          <w:b w:val="1"/>
          <w:bCs w:val="1"/>
          <w:i w:val="1"/>
          <w:iCs w:val="1"/>
          <w:color w:val="auto"/>
        </w:rPr>
        <w:t>Guaranteeing Subsidiaries</w:t>
      </w:r>
      <w:r>
        <w:rPr>
          <w:rFonts w:ascii="Times New Roman" w:cs="Times New Roman" w:eastAsia="Times New Roman" w:hAnsi="Times New Roman"/>
          <w:sz w:val="21"/>
          <w:szCs w:val="21"/>
          <w:color w:val="auto"/>
        </w:rPr>
        <w:t>”), each of which is an indirect subsidiary of California Resources Corporation, a Delaware corporation (the “</w:t>
      </w:r>
      <w:r>
        <w:rPr>
          <w:rFonts w:ascii="Times New Roman" w:cs="Times New Roman" w:eastAsia="Times New Roman" w:hAnsi="Times New Roman"/>
          <w:sz w:val="21"/>
          <w:szCs w:val="21"/>
          <w:b w:val="1"/>
          <w:bCs w:val="1"/>
          <w:i w:val="1"/>
          <w:iCs w:val="1"/>
          <w:color w:val="auto"/>
        </w:rPr>
        <w:t>Issuer</w:t>
      </w:r>
      <w:r>
        <w:rPr>
          <w:rFonts w:ascii="Times New Roman" w:cs="Times New Roman" w:eastAsia="Times New Roman" w:hAnsi="Times New Roman"/>
          <w:sz w:val="21"/>
          <w:szCs w:val="21"/>
          <w:color w:val="auto"/>
        </w:rPr>
        <w:t>”), the other Guarantors (as defined in the Indenture referred to herein), the Issuer and Wilmington Trust, National Association, as trustee under the Indenture referred to below (the “</w:t>
      </w:r>
      <w:r>
        <w:rPr>
          <w:rFonts w:ascii="Times New Roman" w:cs="Times New Roman" w:eastAsia="Times New Roman" w:hAnsi="Times New Roman"/>
          <w:sz w:val="21"/>
          <w:szCs w:val="21"/>
          <w:b w:val="1"/>
          <w:bCs w:val="1"/>
          <w:i w:val="1"/>
          <w:iCs w:val="1"/>
          <w:color w:val="auto"/>
        </w:rPr>
        <w:t>Trustee</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WITNESSETH</w:t>
      </w:r>
    </w:p>
    <w:p>
      <w:pPr>
        <w:spacing w:after="0" w:line="179" w:lineRule="exact"/>
        <w:rPr>
          <w:sz w:val="20"/>
          <w:szCs w:val="20"/>
          <w:color w:val="auto"/>
        </w:rPr>
      </w:pPr>
    </w:p>
    <w:p>
      <w:pPr>
        <w:jc w:val="both"/>
        <w:ind w:right="20" w:firstLine="636"/>
        <w:spacing w:after="0" w:line="263" w:lineRule="auto"/>
        <w:rPr>
          <w:sz w:val="20"/>
          <w:szCs w:val="20"/>
          <w:color w:val="auto"/>
        </w:rPr>
      </w:pPr>
      <w:r>
        <w:rPr>
          <w:rFonts w:ascii="Times New Roman" w:cs="Times New Roman" w:eastAsia="Times New Roman" w:hAnsi="Times New Roman"/>
          <w:sz w:val="21"/>
          <w:szCs w:val="21"/>
          <w:color w:val="auto"/>
        </w:rPr>
        <w:t>WHEREAS, the Issuer has heretofore executed and delivered to the Trustee an indenture (the “</w:t>
      </w:r>
      <w:r>
        <w:rPr>
          <w:rFonts w:ascii="Times New Roman" w:cs="Times New Roman" w:eastAsia="Times New Roman" w:hAnsi="Times New Roman"/>
          <w:sz w:val="21"/>
          <w:szCs w:val="21"/>
          <w:b w:val="1"/>
          <w:bCs w:val="1"/>
          <w:i w:val="1"/>
          <w:iCs w:val="1"/>
          <w:color w:val="auto"/>
        </w:rPr>
        <w:t>Indenture</w:t>
      </w:r>
      <w:r>
        <w:rPr>
          <w:rFonts w:ascii="Times New Roman" w:cs="Times New Roman" w:eastAsia="Times New Roman" w:hAnsi="Times New Roman"/>
          <w:sz w:val="21"/>
          <w:szCs w:val="21"/>
          <w:color w:val="auto"/>
        </w:rPr>
        <w:t>”), dated as of January 20, 2021, providing for the issuance of 7.125% Senior Notes due 2026 (collectively, the “</w:t>
      </w:r>
      <w:r>
        <w:rPr>
          <w:rFonts w:ascii="Times New Roman" w:cs="Times New Roman" w:eastAsia="Times New Roman" w:hAnsi="Times New Roman"/>
          <w:sz w:val="21"/>
          <w:szCs w:val="21"/>
          <w:b w:val="1"/>
          <w:bCs w:val="1"/>
          <w:i w:val="1"/>
          <w:iCs w:val="1"/>
          <w:color w:val="auto"/>
        </w:rPr>
        <w:t>Notes</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jc w:val="both"/>
        <w:ind w:firstLine="636"/>
        <w:spacing w:after="0" w:line="241"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b w:val="1"/>
          <w:bCs w:val="1"/>
          <w:i w:val="1"/>
          <w:iCs w:val="1"/>
          <w:color w:val="auto"/>
        </w:rPr>
        <w:t>Guarantee</w:t>
      </w:r>
      <w:r>
        <w:rPr>
          <w:rFonts w:ascii="Times New Roman" w:cs="Times New Roman" w:eastAsia="Times New Roman" w:hAnsi="Times New Roman"/>
          <w:sz w:val="21"/>
          <w:szCs w:val="21"/>
          <w:color w:val="auto"/>
        </w:rPr>
        <w:t>”); and</w:t>
      </w:r>
    </w:p>
    <w:p>
      <w:pPr>
        <w:spacing w:after="0" w:line="14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WHEREAS, pursuant to Section 9.01 of the Indenture, the Trustee is authorized to execute and deliver this Supplemental Indenture.</w:t>
      </w:r>
    </w:p>
    <w:p>
      <w:pPr>
        <w:spacing w:after="0" w:line="128" w:lineRule="exact"/>
        <w:rPr>
          <w:sz w:val="20"/>
          <w:szCs w:val="20"/>
          <w:color w:val="auto"/>
        </w:rPr>
      </w:pPr>
    </w:p>
    <w:p>
      <w:pPr>
        <w:jc w:val="both"/>
        <w:ind w:firstLine="636"/>
        <w:spacing w:after="0" w:line="241"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of which is hereby acknowledged, the Guaranteeing Subsidiaries, the other Guarantors, the Issuer and the Trustee mutually covenant and agree for the equal and ratable benefit of the Holders of the Notes as follows:</w:t>
      </w:r>
    </w:p>
    <w:p>
      <w:pPr>
        <w:spacing w:after="0" w:line="134" w:lineRule="exact"/>
        <w:rPr>
          <w:sz w:val="20"/>
          <w:szCs w:val="20"/>
          <w:color w:val="auto"/>
        </w:rPr>
      </w:pPr>
    </w:p>
    <w:p>
      <w:pPr>
        <w:ind w:firstLine="642"/>
        <w:spacing w:after="0" w:line="259" w:lineRule="auto"/>
        <w:tabs>
          <w:tab w:leader="none" w:pos="103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Capitalized terms used herein without definition shall have the meanings assigned to them in the Indenture.</w:t>
      </w:r>
    </w:p>
    <w:p>
      <w:pPr>
        <w:spacing w:after="0" w:line="128" w:lineRule="exact"/>
        <w:rPr>
          <w:rFonts w:ascii="Times New Roman" w:cs="Times New Roman" w:eastAsia="Times New Roman" w:hAnsi="Times New Roman"/>
          <w:sz w:val="21"/>
          <w:szCs w:val="21"/>
          <w:color w:val="auto"/>
        </w:rPr>
      </w:pPr>
    </w:p>
    <w:p>
      <w:pPr>
        <w:jc w:val="both"/>
        <w:ind w:firstLine="642"/>
        <w:spacing w:after="0" w:line="241" w:lineRule="auto"/>
        <w:tabs>
          <w:tab w:leader="none" w:pos="105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The Guaranteeing Subsidiaries hereby unconditionally Guarantee all of the Issuer’s Obligations under the Notes and the Indenture on the terms and subject to the conditions set forth in the Indenture including, but not limited to, Article 10 thereof.</w:t>
      </w:r>
    </w:p>
    <w:p>
      <w:pPr>
        <w:spacing w:after="0" w:line="147" w:lineRule="exact"/>
        <w:rPr>
          <w:rFonts w:ascii="Times New Roman" w:cs="Times New Roman" w:eastAsia="Times New Roman" w:hAnsi="Times New Roman"/>
          <w:sz w:val="21"/>
          <w:szCs w:val="21"/>
          <w:color w:val="auto"/>
        </w:rPr>
      </w:pPr>
    </w:p>
    <w:p>
      <w:pPr>
        <w:jc w:val="both"/>
        <w:ind w:firstLine="642"/>
        <w:spacing w:after="0" w:line="234" w:lineRule="auto"/>
        <w:tabs>
          <w:tab w:leader="none" w:pos="106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34" w:lineRule="exact"/>
        <w:rPr>
          <w:rFonts w:ascii="Times New Roman" w:cs="Times New Roman" w:eastAsia="Times New Roman" w:hAnsi="Times New Roman"/>
          <w:sz w:val="21"/>
          <w:szCs w:val="21"/>
          <w:color w:val="auto"/>
        </w:rPr>
      </w:pPr>
    </w:p>
    <w:p>
      <w:pPr>
        <w:ind w:firstLine="642"/>
        <w:spacing w:after="0" w:line="259" w:lineRule="auto"/>
        <w:tabs>
          <w:tab w:leader="none" w:pos="100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YORK LAW TO GOVERN. THIS SUPPLEMENTAL INDENTURE, AND ANY CLAIM, CONTROVERSY OR DISPUTE ARISING UNDER OR RELATED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0" w:right="339" w:bottom="1440" w:gutter="0" w:footer="0" w:header="0"/>
        </w:sectPr>
      </w:pPr>
    </w:p>
    <w:bookmarkStart w:id="152" w:name="page153"/>
    <w:bookmarkEnd w:id="152"/>
    <w:p>
      <w:pPr>
        <w:spacing w:after="0" w:line="1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SUPPLEMENTAL INDENTURE, SHALL BE GOVERNED BY AND CONSTRUED IN ACCORDANCE WITH THE LAWS OF THE STATE OF NEW YORK.</w:t>
      </w:r>
    </w:p>
    <w:p>
      <w:pPr>
        <w:spacing w:after="0" w:line="115" w:lineRule="exact"/>
        <w:rPr>
          <w:sz w:val="20"/>
          <w:szCs w:val="20"/>
          <w:color w:val="auto"/>
        </w:rPr>
      </w:pPr>
    </w:p>
    <w:p>
      <w:pPr>
        <w:ind w:firstLine="642"/>
        <w:spacing w:after="0" w:line="259" w:lineRule="auto"/>
        <w:tabs>
          <w:tab w:leader="none" w:pos="1028"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COUNTERPARTS. The parties may sign any number of copies of this Supplemental Indenture. Each signed copy shall be an original, but all of them together represent the same agreement.</w:t>
      </w:r>
    </w:p>
    <w:p>
      <w:pPr>
        <w:spacing w:after="0" w:line="128" w:lineRule="exact"/>
        <w:rPr>
          <w:rFonts w:ascii="Times New Roman" w:cs="Times New Roman" w:eastAsia="Times New Roman" w:hAnsi="Times New Roman"/>
          <w:sz w:val="21"/>
          <w:szCs w:val="21"/>
          <w:color w:val="auto"/>
        </w:rPr>
      </w:pPr>
    </w:p>
    <w:p>
      <w:pPr>
        <w:ind w:left="1060" w:hanging="418"/>
        <w:spacing w:after="0"/>
        <w:tabs>
          <w:tab w:leader="none" w:pos="106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OF HEADINGS. The Section headings herein are for convenience only and shall not affect the construction</w:t>
      </w:r>
    </w:p>
    <w:p>
      <w:pPr>
        <w:spacing w:after="0" w:line="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w:t>
      </w:r>
    </w:p>
    <w:p>
      <w:pPr>
        <w:spacing w:after="0" w:line="158" w:lineRule="exact"/>
        <w:rPr>
          <w:rFonts w:ascii="Times New Roman" w:cs="Times New Roman" w:eastAsia="Times New Roman" w:hAnsi="Times New Roman"/>
          <w:sz w:val="21"/>
          <w:szCs w:val="21"/>
          <w:color w:val="auto"/>
        </w:rPr>
      </w:pPr>
    </w:p>
    <w:p>
      <w:pPr>
        <w:jc w:val="both"/>
        <w:ind w:firstLine="642"/>
        <w:spacing w:after="0" w:line="241" w:lineRule="auto"/>
        <w:tabs>
          <w:tab w:leader="none" w:pos="109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Guarantors and the Issuer.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3"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to be duly executed and attested, all as of the date first above written.</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Dated: January 20, 2021</w:t>
      </w:r>
    </w:p>
    <w:p>
      <w:pPr>
        <w:spacing w:after="0" w:line="2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GUARANTEEING SUBSIDIARIES:</w:t>
      </w:r>
    </w:p>
    <w:p>
      <w:pPr>
        <w:spacing w:after="0" w:line="3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Elk Hills Power, LLC</w:t>
      </w:r>
    </w:p>
    <w:p>
      <w:pPr>
        <w:spacing w:after="0" w:line="302" w:lineRule="exact"/>
        <w:rPr>
          <w:sz w:val="20"/>
          <w:szCs w:val="20"/>
          <w:color w:val="auto"/>
        </w:rPr>
      </w:pPr>
    </w:p>
    <w:tbl>
      <w:tblPr>
        <w:tblLayout w:type="fixed"/>
        <w:tblInd w:w="506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35"/>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EHP Midco Holding Company, LLC</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22"/>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EHP Topco Holding Company, LLC</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3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EXISTING GUARANTORS:</w:t>
      </w:r>
    </w:p>
    <w:p>
      <w:pPr>
        <w:spacing w:after="0" w:line="3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California Resources Elk Hills, LLC</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California Resources Real Estate Ventures, LLC</w:t>
      </w:r>
    </w:p>
    <w:p>
      <w:pPr>
        <w:ind w:left="5060"/>
        <w:spacing w:after="0" w:line="237" w:lineRule="auto"/>
        <w:rPr>
          <w:sz w:val="20"/>
          <w:szCs w:val="20"/>
          <w:color w:val="auto"/>
        </w:rPr>
      </w:pPr>
      <w:r>
        <w:rPr>
          <w:rFonts w:ascii="Times New Roman" w:cs="Times New Roman" w:eastAsia="Times New Roman" w:hAnsi="Times New Roman"/>
          <w:sz w:val="21"/>
          <w:szCs w:val="21"/>
          <w:color w:val="auto"/>
        </w:rPr>
        <w:t>California Resources Royalty Holdings, LLC</w:t>
      </w:r>
    </w:p>
    <w:p>
      <w:pPr>
        <w:ind w:left="5060"/>
        <w:spacing w:after="0" w:line="237" w:lineRule="auto"/>
        <w:rPr>
          <w:sz w:val="20"/>
          <w:szCs w:val="20"/>
          <w:color w:val="auto"/>
        </w:rPr>
      </w:pPr>
      <w:r>
        <w:rPr>
          <w:rFonts w:ascii="Times New Roman" w:cs="Times New Roman" w:eastAsia="Times New Roman" w:hAnsi="Times New Roman"/>
          <w:sz w:val="21"/>
          <w:szCs w:val="21"/>
          <w:color w:val="auto"/>
        </w:rPr>
        <w:t>CRC Construction Services, LLC</w:t>
      </w:r>
    </w:p>
    <w:p>
      <w:pPr>
        <w:ind w:left="5060"/>
        <w:spacing w:after="0" w:line="237" w:lineRule="auto"/>
        <w:rPr>
          <w:sz w:val="20"/>
          <w:szCs w:val="20"/>
          <w:color w:val="auto"/>
        </w:rPr>
      </w:pPr>
      <w:r>
        <w:rPr>
          <w:rFonts w:ascii="Times New Roman" w:cs="Times New Roman" w:eastAsia="Times New Roman" w:hAnsi="Times New Roman"/>
          <w:sz w:val="21"/>
          <w:szCs w:val="21"/>
          <w:color w:val="auto"/>
        </w:rPr>
        <w:t>CRC Services, LLC</w:t>
      </w:r>
    </w:p>
    <w:p>
      <w:pPr>
        <w:ind w:left="5060"/>
        <w:spacing w:after="0"/>
        <w:rPr>
          <w:sz w:val="20"/>
          <w:szCs w:val="20"/>
          <w:color w:val="auto"/>
        </w:rPr>
      </w:pPr>
      <w:r>
        <w:rPr>
          <w:rFonts w:ascii="Times New Roman" w:cs="Times New Roman" w:eastAsia="Times New Roman" w:hAnsi="Times New Roman"/>
          <w:sz w:val="21"/>
          <w:szCs w:val="21"/>
          <w:color w:val="auto"/>
        </w:rPr>
        <w:t>Socal Holding, LLC</w:t>
      </w:r>
    </w:p>
    <w:p>
      <w:pPr>
        <w:spacing w:after="0" w:line="291" w:lineRule="exact"/>
        <w:rPr>
          <w:sz w:val="20"/>
          <w:szCs w:val="20"/>
          <w:color w:val="auto"/>
        </w:rPr>
      </w:pPr>
    </w:p>
    <w:tbl>
      <w:tblPr>
        <w:tblLayout w:type="fixed"/>
        <w:tblInd w:w="5060" w:type="dxa"/>
        <w:tblCellMar>
          <w:top w:w="0" w:type="dxa"/>
          <w:left w:w="0" w:type="dxa"/>
          <w:bottom w:w="0" w:type="dxa"/>
          <w:right w:w="0" w:type="dxa"/>
        </w:tblCellMar>
      </w:tblP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California Resources Corporation, as sole member</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i w:val="1"/>
          <w:iCs w:val="1"/>
          <w:color w:val="auto"/>
        </w:rPr>
        <w:t>Signature Page to First Supplemental Indenture</w:t>
      </w:r>
    </w:p>
    <w:p>
      <w:pPr>
        <w:sectPr>
          <w:pgSz w:w="11900" w:h="16838" w:orient="portrait"/>
          <w:cols w:equalWidth="0" w:num="1">
            <w:col w:w="11080"/>
          </w:cols>
          <w:pgMar w:left="320" w:top="1440" w:right="499" w:bottom="1440" w:gutter="0" w:footer="0" w:header="0"/>
          <w:type w:val="continuous"/>
        </w:sectPr>
      </w:pPr>
    </w:p>
    <w:bookmarkStart w:id="154" w:name="page155"/>
    <w:bookmarkEnd w:id="154"/>
    <w:p>
      <w:pPr>
        <w:ind w:left="3940"/>
        <w:spacing w:after="0"/>
        <w:rPr>
          <w:sz w:val="20"/>
          <w:szCs w:val="20"/>
          <w:color w:val="auto"/>
        </w:rPr>
      </w:pPr>
      <w:r>
        <w:rPr>
          <w:rFonts w:ascii="Times New Roman" w:cs="Times New Roman" w:eastAsia="Times New Roman" w:hAnsi="Times New Roman"/>
          <w:sz w:val="21"/>
          <w:szCs w:val="21"/>
          <w:color w:val="auto"/>
        </w:rPr>
        <w:t>California Resources Wilmington, LLC</w:t>
      </w:r>
    </w:p>
    <w:p>
      <w:pPr>
        <w:spacing w:after="0" w:line="315" w:lineRule="exact"/>
        <w:rPr>
          <w:sz w:val="20"/>
          <w:szCs w:val="20"/>
          <w:color w:val="auto"/>
        </w:rPr>
      </w:pPr>
    </w:p>
    <w:tbl>
      <w:tblPr>
        <w:tblLayout w:type="fixed"/>
        <w:tblInd w:w="3940" w:type="dxa"/>
        <w:tblCellMar>
          <w:top w:w="0" w:type="dxa"/>
          <w:left w:w="0" w:type="dxa"/>
          <w:bottom w:w="0" w:type="dxa"/>
          <w:right w:w="0" w:type="dxa"/>
        </w:tblCellMar>
      </w:tblP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California Resources Tidelands, Inc., as sole member</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35"/>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California Heavy Oil, Inc,</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22"/>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California Resources Petroleum Corporation</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35"/>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California Resources Production Corporation</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i w:val="1"/>
          <w:iCs w:val="1"/>
          <w:color w:val="auto"/>
        </w:rPr>
        <w:t>Signature Page to First Supplemental Indenture</w:t>
      </w:r>
    </w:p>
    <w:p>
      <w:pPr>
        <w:sectPr>
          <w:pgSz w:w="11900" w:h="16838" w:orient="portrait"/>
          <w:cols w:equalWidth="0" w:num="1">
            <w:col w:w="9260"/>
          </w:cols>
          <w:pgMar w:left="1440" w:top="1437" w:right="1199" w:bottom="1440" w:gutter="0" w:footer="0" w:header="0"/>
        </w:sectPr>
      </w:pPr>
    </w:p>
    <w:bookmarkStart w:id="155" w:name="page156"/>
    <w:bookmarkEnd w:id="155"/>
    <w:p>
      <w:pPr>
        <w:ind w:left="3940"/>
        <w:spacing w:after="0"/>
        <w:rPr>
          <w:sz w:val="20"/>
          <w:szCs w:val="20"/>
          <w:color w:val="auto"/>
        </w:rPr>
      </w:pPr>
      <w:r>
        <w:rPr>
          <w:rFonts w:ascii="Times New Roman" w:cs="Times New Roman" w:eastAsia="Times New Roman" w:hAnsi="Times New Roman"/>
          <w:sz w:val="21"/>
          <w:szCs w:val="21"/>
          <w:color w:val="auto"/>
        </w:rPr>
        <w:t>CRC Marketing, Inc.</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35"/>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Southern San Joaquin Production, Inc.</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22"/>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California Resources Coles Levee, LLC</w:t>
            </w:r>
          </w:p>
        </w:tc>
      </w:tr>
      <w:tr>
        <w:trPr>
          <w:trHeight w:val="556"/>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California Resources Elk Hills, LLC, as sole member</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r>
        <w:trPr>
          <w:trHeight w:val="635"/>
        </w:trPr>
        <w:tc>
          <w:tcPr>
            <w:tcW w:w="53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California Resources Tidelands, Inc.</w:t>
            </w:r>
          </w:p>
        </w:tc>
      </w:tr>
      <w:tr>
        <w:trPr>
          <w:trHeight w:val="544"/>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i w:val="1"/>
          <w:iCs w:val="1"/>
          <w:color w:val="auto"/>
        </w:rPr>
        <w:t>Signature Page to First Supplemental Indenture</w:t>
      </w:r>
    </w:p>
    <w:p>
      <w:pPr>
        <w:sectPr>
          <w:pgSz w:w="11900" w:h="16838" w:orient="portrait"/>
          <w:cols w:equalWidth="0" w:num="1">
            <w:col w:w="9260"/>
          </w:cols>
          <w:pgMar w:left="1440" w:top="1437" w:right="1199" w:bottom="1440" w:gutter="0" w:footer="0" w:header="0"/>
        </w:sectPr>
      </w:pPr>
    </w:p>
    <w:bookmarkStart w:id="156" w:name="page157"/>
    <w:bookmarkEnd w:id="156"/>
    <w:p>
      <w:pPr>
        <w:ind w:left="3940"/>
        <w:spacing w:after="0"/>
        <w:rPr>
          <w:sz w:val="20"/>
          <w:szCs w:val="20"/>
          <w:color w:val="auto"/>
        </w:rPr>
      </w:pPr>
      <w:r>
        <w:rPr>
          <w:rFonts w:ascii="Times New Roman" w:cs="Times New Roman" w:eastAsia="Times New Roman" w:hAnsi="Times New Roman"/>
          <w:sz w:val="21"/>
          <w:szCs w:val="21"/>
          <w:color w:val="auto"/>
        </w:rPr>
        <w:t>California Resources Coles Levee, L.P.</w:t>
      </w:r>
    </w:p>
    <w:p>
      <w:pPr>
        <w:spacing w:after="0" w:line="315" w:lineRule="exact"/>
        <w:rPr>
          <w:sz w:val="20"/>
          <w:szCs w:val="20"/>
          <w:color w:val="auto"/>
        </w:rPr>
      </w:pPr>
    </w:p>
    <w:tbl>
      <w:tblPr>
        <w:tblLayout w:type="fixed"/>
        <w:tblInd w:w="3940" w:type="dxa"/>
        <w:tblCellMar>
          <w:top w:w="0" w:type="dxa"/>
          <w:left w:w="0" w:type="dxa"/>
          <w:bottom w:w="0" w:type="dxa"/>
          <w:right w:w="0" w:type="dxa"/>
        </w:tblCellMar>
      </w:tblP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California Resources Coles Levee, LLC, as general partner</w:t>
            </w:r>
          </w:p>
        </w:tc>
      </w:tr>
      <w:tr>
        <w:trPr>
          <w:trHeight w:val="543"/>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6"/>
        </w:trPr>
        <w:tc>
          <w:tcPr>
            <w:tcW w:w="640" w:type="dxa"/>
            <w:vAlign w:val="bottom"/>
          </w:tcPr>
          <w:p>
            <w:pPr>
              <w:spacing w:after="0"/>
              <w:rPr>
                <w:sz w:val="21"/>
                <w:szCs w:val="21"/>
                <w:color w:val="auto"/>
              </w:rPr>
            </w:pPr>
          </w:p>
        </w:tc>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c>
          <w:tcPr>
            <w:tcW w:w="360" w:type="dxa"/>
            <w:vAlign w:val="bottom"/>
          </w:tcPr>
          <w:p>
            <w:pPr>
              <w:spacing w:after="0"/>
              <w:rPr>
                <w:sz w:val="21"/>
                <w:szCs w:val="21"/>
                <w:color w:val="auto"/>
              </w:rPr>
            </w:pP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424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3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b w:val="1"/>
          <w:bCs w:val="1"/>
          <w:color w:val="auto"/>
        </w:rPr>
        <w:t>ISSUER:</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Francisco J. Leon</w:t>
            </w:r>
          </w:p>
        </w:tc>
      </w:tr>
      <w:tr>
        <w:trPr>
          <w:trHeight w:val="245"/>
        </w:trPr>
        <w:tc>
          <w:tcPr>
            <w:tcW w:w="64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Francisco J. Leon</w:t>
            </w:r>
          </w:p>
        </w:tc>
      </w:tr>
      <w:tr>
        <w:trPr>
          <w:trHeight w:val="213"/>
        </w:trPr>
        <w:tc>
          <w:tcPr>
            <w:tcW w:w="640" w:type="dxa"/>
            <w:vAlign w:val="bottom"/>
          </w:tcPr>
          <w:p>
            <w:pPr>
              <w:spacing w:after="0"/>
              <w:rPr>
                <w:sz w:val="18"/>
                <w:szCs w:val="18"/>
                <w:color w:val="auto"/>
              </w:rPr>
            </w:pP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Title:</w:t>
            </w:r>
          </w:p>
        </w:tc>
        <w:tc>
          <w:tcPr>
            <w:tcW w:w="388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i w:val="1"/>
          <w:iCs w:val="1"/>
          <w:color w:val="auto"/>
        </w:rPr>
        <w:t>Signature Page to First Supplemental Indenture</w:t>
      </w:r>
    </w:p>
    <w:p>
      <w:pPr>
        <w:sectPr>
          <w:pgSz w:w="11900" w:h="16838" w:orient="portrait"/>
          <w:cols w:equalWidth="0" w:num="1">
            <w:col w:w="9620"/>
          </w:cols>
          <w:pgMar w:left="1440" w:top="1437" w:right="839" w:bottom="1440" w:gutter="0" w:footer="0" w:header="0"/>
        </w:sectPr>
      </w:pPr>
    </w:p>
    <w:bookmarkStart w:id="157" w:name="page158"/>
    <w:bookmarkEnd w:id="157"/>
    <w:p>
      <w:pPr>
        <w:ind w:left="3940"/>
        <w:spacing w:after="0"/>
        <w:rPr>
          <w:sz w:val="20"/>
          <w:szCs w:val="20"/>
          <w:color w:val="auto"/>
        </w:rPr>
      </w:pPr>
      <w:r>
        <w:rPr>
          <w:rFonts w:ascii="Times New Roman" w:cs="Times New Roman" w:eastAsia="Times New Roman" w:hAnsi="Times New Roman"/>
          <w:sz w:val="21"/>
          <w:szCs w:val="21"/>
          <w:b w:val="1"/>
          <w:bCs w:val="1"/>
          <w:color w:val="auto"/>
        </w:rPr>
        <w:t>TRUSTEE:</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color w:val="auto"/>
        </w:rPr>
        <w:t>Wilmington Trust, National Association</w:t>
      </w:r>
    </w:p>
    <w:p>
      <w:pPr>
        <w:spacing w:after="0" w:line="302" w:lineRule="exact"/>
        <w:rPr>
          <w:sz w:val="20"/>
          <w:szCs w:val="20"/>
          <w:color w:val="auto"/>
        </w:rPr>
      </w:pPr>
    </w:p>
    <w:tbl>
      <w:tblPr>
        <w:tblLayout w:type="fixed"/>
        <w:tblInd w:w="3940" w:type="dxa"/>
        <w:tblCellMar>
          <w:top w:w="0" w:type="dxa"/>
          <w:left w:w="0" w:type="dxa"/>
          <w:bottom w:w="0" w:type="dxa"/>
          <w:right w:w="0" w:type="dxa"/>
        </w:tblCellMar>
      </w:tblP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Hallie E. Field</w:t>
            </w:r>
          </w:p>
        </w:tc>
      </w:tr>
      <w:tr>
        <w:trPr>
          <w:trHeight w:val="246"/>
        </w:trPr>
        <w:tc>
          <w:tcPr>
            <w:tcW w:w="11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Hallie E. Field</w:t>
            </w: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i w:val="1"/>
          <w:iCs w:val="1"/>
          <w:color w:val="auto"/>
        </w:rPr>
        <w:t>Signature Page to First Supplemental Indenture</w:t>
      </w:r>
    </w:p>
    <w:p>
      <w:pPr>
        <w:sectPr>
          <w:pgSz w:w="11900" w:h="16838" w:orient="portrait"/>
          <w:cols w:equalWidth="0" w:num="1">
            <w:col w:w="9260"/>
          </w:cols>
          <w:pgMar w:left="1440" w:top="1420" w:right="119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NEWS RELEASE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18415</wp:posOffset>
            </wp:positionV>
            <wp:extent cx="1598930" cy="403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8930"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188" w:lineRule="exact"/>
        <w:rPr>
          <w:sz w:val="20"/>
          <w:szCs w:val="20"/>
          <w:color w:val="auto"/>
        </w:rPr>
      </w:pPr>
    </w:p>
    <w:p>
      <w:pPr>
        <w:sectPr>
          <w:pgSz w:w="11900" w:h="16838" w:orient="portrait"/>
          <w:cols w:equalWidth="0" w:num="2">
            <w:col w:w="3960" w:space="720"/>
            <w:col w:w="6560"/>
          </w:cols>
          <w:pgMar w:left="320" w:top="122" w:right="339" w:bottom="1440" w:gutter="0" w:footer="0" w:header="0"/>
        </w:sectPr>
      </w:pPr>
    </w:p>
    <w:p>
      <w:pPr>
        <w:jc w:val="center"/>
        <w:spacing w:after="0" w:line="280" w:lineRule="auto"/>
        <w:rPr>
          <w:sz w:val="20"/>
          <w:szCs w:val="20"/>
          <w:color w:val="auto"/>
        </w:rPr>
      </w:pPr>
      <w:r>
        <w:rPr>
          <w:rFonts w:ascii="Arial" w:cs="Arial" w:eastAsia="Arial" w:hAnsi="Arial"/>
          <w:sz w:val="28"/>
          <w:szCs w:val="28"/>
          <w:b w:val="1"/>
          <w:bCs w:val="1"/>
          <w:color w:val="auto"/>
        </w:rPr>
        <w:t>California Resources Corporation Announces Functional Realignment and Streamlining of Leadership Team</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 xml:space="preserve">Santa Clarita, California, January 21, 2021 – </w:t>
      </w:r>
      <w:r>
        <w:rPr>
          <w:rFonts w:ascii="Arial" w:cs="Arial" w:eastAsia="Arial" w:hAnsi="Arial"/>
          <w:sz w:val="21"/>
          <w:szCs w:val="21"/>
          <w:color w:val="auto"/>
        </w:rPr>
        <w:t>California Resources Corporation (NYSE: CRC) (the “Company”) announced</w:t>
      </w:r>
      <w:r>
        <w:rPr>
          <w:rFonts w:ascii="Arial" w:cs="Arial" w:eastAsia="Arial" w:hAnsi="Arial"/>
          <w:sz w:val="19"/>
          <w:szCs w:val="19"/>
          <w:color w:val="auto"/>
        </w:rPr>
        <w:t xml:space="preserve"> </w:t>
      </w:r>
      <w:r>
        <w:rPr>
          <w:rFonts w:ascii="Arial" w:cs="Arial" w:eastAsia="Arial" w:hAnsi="Arial"/>
          <w:sz w:val="21"/>
          <w:szCs w:val="21"/>
          <w:color w:val="auto"/>
        </w:rPr>
        <w:t>today that it is reducing the size of its leadership team and realigning several functions as it focuses on efficiency and cost reductions. The Company is eliminating leadership positions in the areas of public affairs, exploration and development, investor relations and finance, and implementing the following functional realignment: (1) reporting to Mac McFarland (interim CEO) will be Francisco Leon (Chief Financial Officer), Mike Preston (Chief Administrative Officer and General Counsel), Shawn Kerns (Executive Vice President, Operations and Engineering), and Carlos Contreras (Senior Vice President, Commercial); (2) Mr. Leon’s functional responsibilities will include finance and planning, reserves, business development, investor relations and supply chain; (3) Mr. Preston will have responsibility for legal, IT, human resources and government and external affairs; (4) Mr. Kerns will have responsibility for all aspects of operations and development; and (5) Mr. Contreras will lead the marketing function. These organizational changes, when fully implemented, are expected to reduce the Company’s run rate costs by approximately $8 million per year (representing a 22% reduction in senior leadership team costs)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result in one-time charges of approximately $5 million.</w:t>
      </w:r>
    </w:p>
    <w:p>
      <w:pPr>
        <w:spacing w:after="0" w:line="200" w:lineRule="exact"/>
        <w:rPr>
          <w:sz w:val="20"/>
          <w:szCs w:val="20"/>
          <w:color w:val="auto"/>
        </w:rPr>
      </w:pPr>
    </w:p>
    <w:p>
      <w:pPr>
        <w:spacing w:after="0" w:line="216" w:lineRule="exact"/>
        <w:rPr>
          <w:sz w:val="20"/>
          <w:szCs w:val="20"/>
          <w:color w:val="auto"/>
        </w:rPr>
      </w:pPr>
    </w:p>
    <w:p>
      <w:pPr>
        <w:ind w:right="220"/>
        <w:spacing w:after="0" w:line="278" w:lineRule="auto"/>
        <w:rPr>
          <w:sz w:val="20"/>
          <w:szCs w:val="20"/>
          <w:color w:val="auto"/>
        </w:rPr>
      </w:pPr>
      <w:r>
        <w:rPr>
          <w:rFonts w:ascii="Arial" w:cs="Arial" w:eastAsia="Arial" w:hAnsi="Arial"/>
          <w:sz w:val="21"/>
          <w:szCs w:val="21"/>
          <w:color w:val="auto"/>
        </w:rPr>
        <w:t>Mr. McFarland said “This streamlined leadership team is the first step in better positioning the Company to focus on implementing additional cost reductions, maintaining our capital discipline and asset rationalization through our full-scale Business Review. We will continue to maintain our focus on safe and environmentally responsible operations as we implement changes to the Company’s organization and strategic direction.”</w:t>
      </w: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Investor Presentation Available</w:t>
      </w:r>
    </w:p>
    <w:p>
      <w:pPr>
        <w:spacing w:after="0" w:line="187" w:lineRule="exact"/>
        <w:rPr>
          <w:sz w:val="20"/>
          <w:szCs w:val="20"/>
          <w:color w:val="auto"/>
        </w:rPr>
      </w:pPr>
    </w:p>
    <w:p>
      <w:pPr>
        <w:jc w:val="both"/>
        <w:spacing w:after="0" w:line="307" w:lineRule="auto"/>
        <w:rPr>
          <w:sz w:val="20"/>
          <w:szCs w:val="20"/>
          <w:color w:val="auto"/>
        </w:rPr>
      </w:pPr>
      <w:r>
        <w:rPr>
          <w:rFonts w:ascii="Arial" w:cs="Arial" w:eastAsia="Arial" w:hAnsi="Arial"/>
          <w:sz w:val="21"/>
          <w:szCs w:val="21"/>
          <w:color w:val="auto"/>
        </w:rPr>
        <w:t>The Company today posted an updated investor presentation to the Investor Relations page of its website at www.crc.com.</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 Disclosure</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21"/>
          <w:szCs w:val="21"/>
          <w:color w:val="auto"/>
        </w:rPr>
        <w:t>All statements, except for statements of historical fact, made in this release regarding activities, events or developments the Company expects, believes or anticipates will or may occur in the future, are forward-looking statements within the meaning of Section 27A of the Securities Act and Section 21E of the Securities Exchange Act of 1934, as amended.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w:t>
      </w:r>
    </w:p>
    <w:p>
      <w:pPr>
        <w:spacing w:after="0" w:line="33" w:lineRule="exact"/>
        <w:rPr>
          <w:sz w:val="20"/>
          <w:szCs w:val="20"/>
          <w:color w:val="auto"/>
        </w:rPr>
      </w:pPr>
    </w:p>
    <w:p>
      <w:pPr>
        <w:ind w:firstLine="6"/>
        <w:spacing w:after="0" w:line="192" w:lineRule="auto"/>
        <w:tabs>
          <w:tab w:leader="none" w:pos="312" w:val="left"/>
        </w:tabs>
        <w:numPr>
          <w:ilvl w:val="0"/>
          <w:numId w:val="207"/>
        </w:numPr>
        <w:rPr>
          <w:rFonts w:ascii="Arial" w:cs="Arial" w:eastAsia="Arial" w:hAnsi="Arial"/>
          <w:sz w:val="28"/>
          <w:szCs w:val="28"/>
          <w:color w:val="auto"/>
          <w:vertAlign w:val="superscript"/>
        </w:rPr>
      </w:pPr>
      <w:r>
        <w:rPr>
          <w:rFonts w:ascii="Arial" w:cs="Arial" w:eastAsia="Arial" w:hAnsi="Arial"/>
          <w:sz w:val="18"/>
          <w:szCs w:val="18"/>
          <w:color w:val="auto"/>
        </w:rPr>
        <w:t>Calculations based on 2020 run rate at target. “Senior leadership team” consists of Vice Presidents and more senior positions, including the CEO position.</w:t>
      </w:r>
    </w:p>
    <w:p>
      <w:pPr>
        <w:sectPr>
          <w:pgSz w:w="11900" w:h="16838" w:orient="portrait"/>
          <w:cols w:equalWidth="0" w:num="1">
            <w:col w:w="11240"/>
          </w:cols>
          <w:pgMar w:left="320" w:top="122" w:right="3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5742940</wp:posOffset>
            </wp:positionH>
            <wp:positionV relativeFrom="page">
              <wp:posOffset>88900</wp:posOffset>
            </wp:positionV>
            <wp:extent cx="1598930" cy="403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98930" cy="403860"/>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242" w:lineRule="exact"/>
        <w:rPr>
          <w:sz w:val="20"/>
          <w:szCs w:val="20"/>
          <w:color w:val="auto"/>
        </w:rPr>
      </w:pPr>
    </w:p>
    <w:p>
      <w:pPr>
        <w:jc w:val="both"/>
        <w:spacing w:after="0" w:line="330" w:lineRule="auto"/>
        <w:rPr>
          <w:sz w:val="20"/>
          <w:szCs w:val="20"/>
          <w:color w:val="auto"/>
        </w:rPr>
      </w:pPr>
      <w:r>
        <w:rPr>
          <w:rFonts w:ascii="Arial" w:cs="Arial" w:eastAsia="Arial" w:hAnsi="Arial"/>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21"/>
          <w:szCs w:val="21"/>
          <w:color w:val="333333"/>
        </w:rPr>
        <w:t>California Resources Corporation is the largest oil and natural gas exploration and production company in California. The Company operates exclusively within the State of California, applying complementary and integrated infrastructure to gather, process and market its production. Using advanced technology, the Company focuses on safely and responsibly supplying affordable energy for California by Californians</w:t>
      </w:r>
      <w:r>
        <w:rPr>
          <w:rFonts w:ascii="Arial" w:cs="Arial" w:eastAsia="Arial" w:hAnsi="Arial"/>
          <w:sz w:val="21"/>
          <w:szCs w:val="21"/>
          <w:color w:val="000000"/>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gridSpan w:val="4"/>
          </w:tcPr>
          <w:p>
            <w:pPr>
              <w:spacing w:after="0"/>
              <w:rPr>
                <w:sz w:val="20"/>
                <w:szCs w:val="20"/>
                <w:color w:val="auto"/>
              </w:rPr>
            </w:pPr>
            <w:r>
              <w:rPr>
                <w:rFonts w:ascii="Arial" w:cs="Arial" w:eastAsia="Arial" w:hAnsi="Arial"/>
                <w:sz w:val="21"/>
                <w:szCs w:val="21"/>
                <w:b w:val="1"/>
                <w:bCs w:val="1"/>
                <w:color w:val="auto"/>
              </w:rPr>
              <w:t>CRC Contacts:</w:t>
            </w:r>
          </w:p>
        </w:tc>
        <w:tc>
          <w:tcPr>
            <w:tcW w:w="2720" w:type="dxa"/>
            <w:vAlign w:val="bottom"/>
          </w:tcPr>
          <w:p>
            <w:pPr>
              <w:spacing w:after="0"/>
              <w:rPr>
                <w:sz w:val="20"/>
                <w:szCs w:val="20"/>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720" w:type="dxa"/>
            <w:vAlign w:val="bottom"/>
          </w:tcPr>
          <w:p>
            <w:pPr>
              <w:spacing w:after="0"/>
              <w:rPr>
                <w:sz w:val="20"/>
                <w:szCs w:val="20"/>
                <w:color w:val="auto"/>
              </w:rPr>
            </w:pPr>
            <w:r>
              <w:rPr>
                <w:rFonts w:ascii="Arial" w:cs="Arial" w:eastAsia="Arial" w:hAnsi="Arial"/>
                <w:sz w:val="21"/>
                <w:szCs w:val="21"/>
                <w:color w:val="auto"/>
              </w:rPr>
              <w:t>Margita Thompson (Media)</w:t>
            </w:r>
          </w:p>
        </w:tc>
      </w:tr>
      <w:tr>
        <w:trPr>
          <w:trHeight w:val="252"/>
        </w:trPr>
        <w:tc>
          <w:tcPr>
            <w:tcW w:w="1500" w:type="dxa"/>
            <w:vAlign w:val="bottom"/>
            <w:gridSpan w:val="2"/>
          </w:tcPr>
          <w:p>
            <w:pPr>
              <w:ind w:left="20"/>
              <w:spacing w:after="0"/>
              <w:rPr>
                <w:sz w:val="20"/>
                <w:szCs w:val="20"/>
                <w:color w:val="auto"/>
              </w:rPr>
            </w:pPr>
            <w:r>
              <w:rPr>
                <w:rFonts w:ascii="Arial" w:cs="Arial" w:eastAsia="Arial" w:hAnsi="Arial"/>
                <w:sz w:val="21"/>
                <w:szCs w:val="21"/>
                <w:color w:val="auto"/>
              </w:rPr>
              <w:t>(818) 661-3731</w:t>
            </w:r>
          </w:p>
        </w:tc>
        <w:tc>
          <w:tcPr>
            <w:tcW w:w="6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1"/>
                <w:szCs w:val="21"/>
                <w:color w:val="auto"/>
              </w:rPr>
              <w:t>(818) 661-6015</w:t>
            </w:r>
          </w:p>
        </w:tc>
      </w:tr>
      <w:tr>
        <w:trPr>
          <w:trHeight w:val="231"/>
        </w:trPr>
        <w:tc>
          <w:tcPr>
            <w:tcW w:w="20" w:type="dxa"/>
            <w:vAlign w:val="bottom"/>
          </w:tcPr>
          <w:p>
            <w:pPr>
              <w:spacing w:after="0"/>
              <w:rPr>
                <w:sz w:val="20"/>
                <w:szCs w:val="20"/>
                <w:color w:val="auto"/>
              </w:rPr>
            </w:pPr>
          </w:p>
        </w:tc>
        <w:tc>
          <w:tcPr>
            <w:tcW w:w="2160" w:type="dxa"/>
            <w:vAlign w:val="bottom"/>
            <w:tcBorders>
              <w:bottom w:val="single" w:sz="8" w:color="0000FF"/>
            </w:tcBorders>
            <w:gridSpan w:val="2"/>
          </w:tcPr>
          <w:p>
            <w:pPr>
              <w:spacing w:after="0" w:line="231" w:lineRule="exact"/>
              <w:rPr>
                <w:sz w:val="20"/>
                <w:szCs w:val="20"/>
                <w:color w:val="auto"/>
              </w:rPr>
            </w:pPr>
            <w:r>
              <w:rPr>
                <w:rFonts w:ascii="Arial" w:cs="Arial" w:eastAsia="Arial" w:hAnsi="Arial"/>
                <w:sz w:val="21"/>
                <w:szCs w:val="21"/>
                <w:color w:val="0000FF"/>
              </w:rPr>
              <w:t>Joanna.Park@crc.com</w:t>
            </w:r>
          </w:p>
        </w:tc>
        <w:tc>
          <w:tcPr>
            <w:tcW w:w="3340" w:type="dxa"/>
            <w:vAlign w:val="bottom"/>
          </w:tcPr>
          <w:p>
            <w:pPr>
              <w:spacing w:after="0"/>
              <w:rPr>
                <w:sz w:val="20"/>
                <w:szCs w:val="20"/>
                <w:color w:val="auto"/>
              </w:rPr>
            </w:pPr>
          </w:p>
        </w:tc>
        <w:tc>
          <w:tcPr>
            <w:tcW w:w="2720" w:type="dxa"/>
            <w:vAlign w:val="bottom"/>
            <w:tcBorders>
              <w:bottom w:val="single" w:sz="8" w:color="0000FF"/>
            </w:tcBorders>
          </w:tcPr>
          <w:p>
            <w:pPr>
              <w:spacing w:after="0" w:line="231" w:lineRule="exact"/>
              <w:rPr>
                <w:sz w:val="20"/>
                <w:szCs w:val="20"/>
                <w:color w:val="auto"/>
              </w:rPr>
            </w:pPr>
            <w:r>
              <w:rPr>
                <w:rFonts w:ascii="Arial" w:cs="Arial" w:eastAsia="Arial" w:hAnsi="Arial"/>
                <w:sz w:val="21"/>
                <w:szCs w:val="21"/>
                <w:color w:val="0000FF"/>
              </w:rPr>
              <w:t>Margita.Thompson@crc.com</w:t>
            </w:r>
          </w:p>
        </w:tc>
      </w:tr>
      <w:tr>
        <w:trPr>
          <w:trHeight w:val="644"/>
        </w:trPr>
        <w:tc>
          <w:tcPr>
            <w:tcW w:w="5520" w:type="dxa"/>
            <w:vAlign w:val="bottom"/>
            <w:gridSpan w:val="4"/>
          </w:tcPr>
          <w:p>
            <w:pPr>
              <w:spacing w:after="0"/>
              <w:rPr>
                <w:sz w:val="20"/>
                <w:szCs w:val="20"/>
                <w:color w:val="auto"/>
              </w:rPr>
            </w:pPr>
            <w:r>
              <w:rPr>
                <w:rFonts w:ascii="Arial" w:cs="Arial" w:eastAsia="Arial" w:hAnsi="Arial"/>
                <w:sz w:val="21"/>
                <w:szCs w:val="21"/>
                <w:color w:val="auto"/>
              </w:rPr>
              <w:t>Source: California Resources Corporation</w:t>
            </w:r>
          </w:p>
        </w:tc>
        <w:tc>
          <w:tcPr>
            <w:tcW w:w="2720" w:type="dxa"/>
            <w:vAlign w:val="bottom"/>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160" w:name="page161"/>
    <w:bookmarkEnd w:id="160"/>
    <w:p>
      <w:pPr>
        <w:ind w:left="890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172720</wp:posOffset>
            </wp:positionV>
            <wp:extent cx="6057900" cy="3399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0" w:num="1">
            <w:col w:w="10120"/>
          </w:cols>
          <w:pgMar w:left="1440" w:top="749" w:right="339" w:bottom="1440"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6057900" cy="3399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057900" cy="3399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decimal"/>
      <w:start w:val="104"/>
    </w:lvl>
  </w:abstractNum>
  <w:abstractNum w:abstractNumId="3">
    <w:nsid w:val="53299938"/>
    <w:multiLevelType w:val="hybridMultilevel"/>
    <w:lvl w:ilvl="0">
      <w:lvlJc w:val="left"/>
      <w:lvlText w:val="(%1)"/>
      <w:numFmt w:val="decimal"/>
      <w:start w:val="1"/>
    </w:lvl>
  </w:abstractNum>
  <w:abstractNum w:abstractNumId="4">
    <w:nsid w:val="1FBFE8E0"/>
    <w:multiLevelType w:val="hybridMultilevel"/>
    <w:lvl w:ilvl="0">
      <w:lvlJc w:val="left"/>
      <w:lvlText w:val="(%1)"/>
      <w:numFmt w:val="decimal"/>
      <w:start w:val="1"/>
    </w:lvl>
  </w:abstractNum>
  <w:abstractNum w:abstractNumId="5">
    <w:nsid w:val="5092CA79"/>
    <w:multiLevelType w:val="hybridMultilevel"/>
    <w:lvl w:ilvl="0">
      <w:lvlJc w:val="left"/>
      <w:lvlText w:val="(%1)"/>
      <w:numFmt w:val="lowerRoman"/>
      <w:start w:val="1"/>
    </w:lvl>
    <w:lvl w:ilvl="1">
      <w:lvlJc w:val="left"/>
      <w:lvlText w:val="(%2)"/>
      <w:numFmt w:val="upperLetter"/>
      <w:start w:val="1"/>
    </w:lvl>
  </w:abstractNum>
  <w:abstractNum w:abstractNumId="6">
    <w:nsid w:val="1D545C4D"/>
    <w:multiLevelType w:val="hybridMultilevel"/>
    <w:lvl w:ilvl="0">
      <w:lvlJc w:val="left"/>
      <w:lvlText w:val="(%1)"/>
      <w:numFmt w:val="upperLetter"/>
      <w:start w:val="3"/>
    </w:lvl>
  </w:abstractNum>
  <w:abstractNum w:abstractNumId="7">
    <w:nsid w:val="59ADEA3D"/>
    <w:multiLevelType w:val="hybridMultilevel"/>
    <w:lvl w:ilvl="0">
      <w:lvlJc w:val="left"/>
      <w:lvlText w:val="(%1)"/>
      <w:numFmt w:val="lowerRoman"/>
      <w:start w:val="2"/>
    </w:lvl>
  </w:abstractNum>
  <w:abstractNum w:abstractNumId="8">
    <w:nsid w:val="288F1A34"/>
    <w:multiLevelType w:val="hybridMultilevel"/>
    <w:lvl w:ilvl="0">
      <w:lvlJc w:val="left"/>
      <w:lvlText w:val="(%1)"/>
      <w:numFmt w:val="lowerRoman"/>
      <w:start w:val="3"/>
    </w:lvl>
    <w:lvl w:ilvl="1">
      <w:lvlJc w:val="left"/>
      <w:lvlText w:val="(%2)"/>
      <w:numFmt w:val="upperLetter"/>
      <w:start w:val="1"/>
    </w:lvl>
  </w:abstractNum>
  <w:abstractNum w:abstractNumId="9">
    <w:nsid w:val="2A155DBC"/>
    <w:multiLevelType w:val="hybridMultilevel"/>
    <w:lvl w:ilvl="0">
      <w:lvlJc w:val="left"/>
      <w:lvlText w:val="(%1)"/>
      <w:numFmt w:val="lowerLetter"/>
      <w:start w:val="2"/>
    </w:lvl>
    <w:lvl w:ilvl="1">
      <w:lvlJc w:val="left"/>
      <w:lvlText w:val="(%2)"/>
      <w:numFmt w:val="lowerRoman"/>
      <w:start w:val="1"/>
    </w:lvl>
  </w:abstractNum>
  <w:abstractNum w:abstractNumId="10">
    <w:nsid w:val="1D9F6E5F"/>
    <w:multiLevelType w:val="hybridMultilevel"/>
    <w:lvl w:ilvl="0">
      <w:lvlJc w:val="left"/>
      <w:lvlText w:val="(%1)"/>
      <w:numFmt w:val="decimal"/>
      <w:start w:val="1"/>
    </w:lvl>
    <w:lvl w:ilvl="1">
      <w:lvlJc w:val="left"/>
      <w:lvlText w:val="(%2)"/>
      <w:numFmt w:val="lowerLetter"/>
      <w:start w:val="1"/>
    </w:lvl>
  </w:abstractNum>
  <w:abstractNum w:abstractNumId="11">
    <w:nsid w:val="97E1B4E"/>
    <w:multiLevelType w:val="hybridMultilevel"/>
    <w:lvl w:ilvl="0">
      <w:lvlJc w:val="left"/>
      <w:lvlText w:val="(%1)"/>
      <w:numFmt w:val="decimal"/>
      <w:start w:val="1"/>
    </w:lvl>
  </w:abstractNum>
  <w:abstractNum w:abstractNumId="12">
    <w:nsid w:val="51088277"/>
    <w:multiLevelType w:val="hybridMultilevel"/>
    <w:lvl w:ilvl="0">
      <w:lvlJc w:val="left"/>
      <w:lvlText w:val="(%1)"/>
      <w:numFmt w:val="decimal"/>
      <w:start w:val="1"/>
    </w:lvl>
  </w:abstractNum>
  <w:abstractNum w:abstractNumId="13">
    <w:nsid w:val="1CA0C5FA"/>
    <w:multiLevelType w:val="hybridMultilevel"/>
    <w:lvl w:ilvl="0">
      <w:lvlJc w:val="left"/>
      <w:lvlText w:val="(%1)"/>
      <w:numFmt w:val="decimal"/>
      <w:start w:val="15"/>
    </w:lvl>
  </w:abstractNum>
  <w:abstractNum w:abstractNumId="14">
    <w:nsid w:val="53584BCB"/>
    <w:multiLevelType w:val="hybridMultilevel"/>
    <w:lvl w:ilvl="0">
      <w:lvlJc w:val="left"/>
      <w:lvlText w:val="(%1)"/>
      <w:numFmt w:val="decimal"/>
      <w:start w:val="1"/>
    </w:lvl>
  </w:abstractNum>
  <w:abstractNum w:abstractNumId="15">
    <w:nsid w:val="415E286C"/>
    <w:multiLevelType w:val="hybridMultilevel"/>
    <w:lvl w:ilvl="0">
      <w:lvlJc w:val="left"/>
      <w:lvlText w:val="(%1)"/>
      <w:numFmt w:val="decimal"/>
      <w:start w:val="1"/>
    </w:lvl>
  </w:abstractNum>
  <w:abstractNum w:abstractNumId="16">
    <w:nsid w:val="7C58FD05"/>
    <w:multiLevelType w:val="hybridMultilevel"/>
    <w:lvl w:ilvl="0">
      <w:lvlJc w:val="left"/>
      <w:lvlText w:val="(%1)"/>
      <w:numFmt w:val="decimal"/>
      <w:start w:val="1"/>
    </w:lvl>
  </w:abstractNum>
  <w:abstractNum w:abstractNumId="17">
    <w:nsid w:val="23D86AAC"/>
    <w:multiLevelType w:val="hybridMultilevel"/>
    <w:lvl w:ilvl="0">
      <w:lvlJc w:val="left"/>
      <w:lvlText w:val="(%1)"/>
      <w:numFmt w:val="decimal"/>
      <w:start w:val="5"/>
    </w:lvl>
  </w:abstractNum>
  <w:abstractNum w:abstractNumId="18">
    <w:nsid w:val="45E6D486"/>
    <w:multiLevelType w:val="hybridMultilevel"/>
    <w:lvl w:ilvl="0">
      <w:lvlJc w:val="left"/>
      <w:lvlText w:val="(%1)"/>
      <w:numFmt w:val="decimal"/>
      <w:start w:val="1"/>
    </w:lvl>
  </w:abstractNum>
  <w:abstractNum w:abstractNumId="19">
    <w:nsid w:val="5C10FE21"/>
    <w:multiLevelType w:val="hybridMultilevel"/>
    <w:lvl w:ilvl="0">
      <w:lvlJc w:val="left"/>
      <w:lvlText w:val="(%1)"/>
      <w:numFmt w:val="decimal"/>
      <w:start w:val="1"/>
    </w:lvl>
  </w:abstractNum>
  <w:abstractNum w:abstractNumId="20">
    <w:nsid w:val="E7FFA2B"/>
    <w:multiLevelType w:val="hybridMultilevel"/>
    <w:lvl w:ilvl="0">
      <w:lvlJc w:val="left"/>
      <w:lvlText w:val="(%1)"/>
      <w:numFmt w:val="decimal"/>
      <w:start w:val="1"/>
    </w:lvl>
  </w:abstractNum>
  <w:abstractNum w:abstractNumId="21">
    <w:nsid w:val="3C5991AA"/>
    <w:multiLevelType w:val="hybridMultilevel"/>
    <w:lvl w:ilvl="0">
      <w:lvlJc w:val="left"/>
      <w:lvlText w:val="(%1)"/>
      <w:numFmt w:val="decimal"/>
      <w:start w:val="1"/>
    </w:lvl>
  </w:abstractNum>
  <w:abstractNum w:abstractNumId="22">
    <w:nsid w:val="4BD8591A"/>
    <w:multiLevelType w:val="hybridMultilevel"/>
    <w:lvl w:ilvl="0">
      <w:lvlJc w:val="left"/>
      <w:lvlText w:val="(%1)"/>
      <w:numFmt w:val="decimal"/>
      <w:start w:val="7"/>
    </w:lvl>
  </w:abstractNum>
  <w:abstractNum w:abstractNumId="23">
    <w:nsid w:val="78DF6A55"/>
    <w:multiLevelType w:val="hybridMultilevel"/>
    <w:lvl w:ilvl="0">
      <w:lvlJc w:val="left"/>
      <w:lvlText w:val="(%1)"/>
      <w:numFmt w:val="decimal"/>
      <w:start w:val="1"/>
    </w:lvl>
  </w:abstractNum>
  <w:abstractNum w:abstractNumId="24">
    <w:nsid w:val="39B7AAA2"/>
    <w:multiLevelType w:val="hybridMultilevel"/>
    <w:lvl w:ilvl="0">
      <w:lvlJc w:val="left"/>
      <w:lvlText w:val="(%1)"/>
      <w:numFmt w:val="decimal"/>
      <w:start w:val="1"/>
    </w:lvl>
  </w:abstractNum>
  <w:abstractNum w:abstractNumId="25">
    <w:nsid w:val="2B0D8DBE"/>
    <w:multiLevelType w:val="hybridMultilevel"/>
    <w:lvl w:ilvl="0">
      <w:lvlJc w:val="left"/>
      <w:lvlText w:val="(%1)"/>
      <w:numFmt w:val="decimal"/>
      <w:start w:val="1"/>
    </w:lvl>
    <w:lvl w:ilvl="1">
      <w:lvlJc w:val="left"/>
      <w:lvlText w:val="(%2)"/>
      <w:numFmt w:val="lowerLetter"/>
      <w:start w:val="1"/>
    </w:lvl>
  </w:abstractNum>
  <w:abstractNum w:abstractNumId="26">
    <w:nsid w:val="6C80EC70"/>
    <w:multiLevelType w:val="hybridMultilevel"/>
    <w:lvl w:ilvl="0">
      <w:lvlJc w:val="left"/>
      <w:lvlText w:val="(%1)"/>
      <w:numFmt w:val="decimal"/>
      <w:start w:val="1"/>
    </w:lvl>
  </w:abstractNum>
  <w:abstractNum w:abstractNumId="27">
    <w:nsid w:val="379E21B5"/>
    <w:multiLevelType w:val="hybridMultilevel"/>
    <w:lvl w:ilvl="0">
      <w:lvlJc w:val="left"/>
      <w:lvlText w:val="(%1)"/>
      <w:numFmt w:val="lowerRoman"/>
      <w:start w:val="2"/>
    </w:lvl>
  </w:abstractNum>
  <w:abstractNum w:abstractNumId="28">
    <w:nsid w:val="69E373"/>
    <w:multiLevelType w:val="hybridMultilevel"/>
    <w:lvl w:ilvl="0">
      <w:lvlJc w:val="left"/>
      <w:lvlText w:val="(%1)"/>
      <w:numFmt w:val="decimal"/>
      <w:start w:val="1"/>
    </w:lvl>
  </w:abstractNum>
  <w:abstractNum w:abstractNumId="29">
    <w:nsid w:val="2C27173B"/>
    <w:multiLevelType w:val="hybridMultilevel"/>
    <w:lvl w:ilvl="0">
      <w:lvlJc w:val="left"/>
      <w:lvlText w:val="(%1)"/>
      <w:numFmt w:val="decimal"/>
      <w:start w:val="1"/>
    </w:lvl>
  </w:abstractNum>
  <w:abstractNum w:abstractNumId="30">
    <w:nsid w:val="4C9B0904"/>
    <w:multiLevelType w:val="hybridMultilevel"/>
    <w:lvl w:ilvl="0">
      <w:lvlJc w:val="left"/>
      <w:lvlText w:val="(%1)"/>
      <w:numFmt w:val="decimal"/>
      <w:start w:val="1"/>
    </w:lvl>
    <w:lvl w:ilvl="1">
      <w:lvlJc w:val="left"/>
      <w:lvlText w:val="(%2)"/>
      <w:numFmt w:val="lowerLetter"/>
      <w:start w:val="1"/>
    </w:lvl>
  </w:abstractNum>
  <w:abstractNum w:abstractNumId="31">
    <w:nsid w:val="6AA7B75C"/>
    <w:multiLevelType w:val="hybridMultilevel"/>
    <w:lvl w:ilvl="0">
      <w:lvlJc w:val="left"/>
      <w:lvlText w:val="%1"/>
      <w:numFmt w:val="lowerLetter"/>
      <w:start w:val="1"/>
    </w:lvl>
    <w:lvl w:ilvl="1">
      <w:lvlJc w:val="left"/>
      <w:lvlText w:val="(%2)"/>
      <w:numFmt w:val="decimal"/>
      <w:start w:val="4"/>
    </w:lvl>
  </w:abstractNum>
  <w:abstractNum w:abstractNumId="32">
    <w:nsid w:val="1DF029D3"/>
    <w:multiLevelType w:val="hybridMultilevel"/>
    <w:lvl w:ilvl="0">
      <w:lvlJc w:val="left"/>
      <w:lvlText w:val="(%1)"/>
      <w:numFmt w:val="lowerLetter"/>
      <w:start w:val="2"/>
    </w:lvl>
    <w:lvl w:ilvl="1">
      <w:lvlJc w:val="left"/>
      <w:lvlText w:val="(%2)"/>
      <w:numFmt w:val="decimal"/>
      <w:start w:val="6"/>
    </w:lvl>
  </w:abstractNum>
  <w:abstractNum w:abstractNumId="33">
    <w:nsid w:val="5675FF36"/>
    <w:multiLevelType w:val="hybridMultilevel"/>
    <w:lvl w:ilvl="0">
      <w:lvlJc w:val="left"/>
      <w:lvlText w:val="%1"/>
      <w:numFmt w:val="decimal"/>
      <w:start w:val="1"/>
    </w:lvl>
    <w:lvl w:ilvl="1">
      <w:lvlJc w:val="left"/>
      <w:lvlText w:val="(%2)"/>
      <w:numFmt w:val="decimal"/>
      <w:start w:val="15"/>
    </w:lvl>
  </w:abstractNum>
  <w:abstractNum w:abstractNumId="34">
    <w:nsid w:val="3DD15094"/>
    <w:multiLevelType w:val="hybridMultilevel"/>
    <w:lvl w:ilvl="0">
      <w:lvlJc w:val="left"/>
      <w:lvlText w:val="(%1)"/>
      <w:numFmt w:val="decimal"/>
      <w:start w:val="20"/>
    </w:lvl>
    <w:lvl w:ilvl="1">
      <w:lvlJc w:val="left"/>
      <w:lvlText w:val="%2"/>
      <w:numFmt w:val="decimal"/>
      <w:start w:val="1"/>
    </w:lvl>
  </w:abstractNum>
  <w:abstractNum w:abstractNumId="35">
    <w:nsid w:val="3DB012B3"/>
    <w:multiLevelType w:val="hybridMultilevel"/>
    <w:lvl w:ilvl="0">
      <w:lvlJc w:val="left"/>
      <w:lvlText w:val="(%1)"/>
      <w:numFmt w:val="decimal"/>
      <w:start w:val="1"/>
    </w:lvl>
  </w:abstractNum>
  <w:abstractNum w:abstractNumId="36">
    <w:nsid w:val="2708C9AF"/>
    <w:multiLevelType w:val="hybridMultilevel"/>
    <w:lvl w:ilvl="0">
      <w:lvlJc w:val="left"/>
      <w:lvlText w:val="%1"/>
      <w:numFmt w:val="lowerRoman"/>
      <w:start w:val="1"/>
    </w:lvl>
    <w:lvl w:ilvl="1">
      <w:lvlJc w:val="left"/>
      <w:lvlText w:val="(%2)"/>
      <w:numFmt w:val="decimal"/>
      <w:start w:val="5"/>
    </w:lvl>
  </w:abstractNum>
  <w:abstractNum w:abstractNumId="37">
    <w:nsid w:val="5B25ACE2"/>
    <w:multiLevelType w:val="hybridMultilevel"/>
    <w:lvl w:ilvl="0">
      <w:lvlJc w:val="left"/>
      <w:lvlText w:val="(%1)"/>
      <w:numFmt w:val="lowerRoman"/>
      <w:start w:val="1"/>
    </w:lvl>
    <w:lvl w:ilvl="1">
      <w:lvlJc w:val="left"/>
      <w:lvlText w:val="(%2)"/>
      <w:numFmt w:val="decimal"/>
      <w:start w:val="7"/>
    </w:lvl>
  </w:abstractNum>
  <w:abstractNum w:abstractNumId="38">
    <w:nsid w:val="175DFCF0"/>
    <w:multiLevelType w:val="hybridMultilevel"/>
    <w:lvl w:ilvl="0">
      <w:lvlJc w:val="left"/>
      <w:lvlText w:val="(%1)"/>
      <w:numFmt w:val="decimal"/>
      <w:start w:val="12"/>
    </w:lvl>
    <w:lvl w:ilvl="1">
      <w:lvlJc w:val="left"/>
      <w:lvlText w:val="(%2)"/>
      <w:numFmt w:val="lowerLetter"/>
      <w:start w:val="1"/>
    </w:lvl>
  </w:abstractNum>
  <w:abstractNum w:abstractNumId="39">
    <w:nsid w:val="4F97E3E4"/>
    <w:multiLevelType w:val="hybridMultilevel"/>
    <w:lvl w:ilvl="0">
      <w:lvlJc w:val="left"/>
      <w:lvlText w:val="(%1)"/>
      <w:numFmt w:val="decimal"/>
      <w:start w:val="20"/>
    </w:lvl>
    <w:lvl w:ilvl="1">
      <w:lvlJc w:val="left"/>
      <w:lvlText w:val="(%2)"/>
      <w:numFmt w:val="lowerLetter"/>
      <w:start w:val="1"/>
    </w:lvl>
  </w:abstractNum>
  <w:abstractNum w:abstractNumId="40">
    <w:nsid w:val="53B0A9E"/>
    <w:multiLevelType w:val="hybridMultilevel"/>
    <w:lvl w:ilvl="0">
      <w:lvlJc w:val="left"/>
      <w:lvlText w:val="%1"/>
      <w:numFmt w:val="decimal"/>
      <w:start w:val="1"/>
    </w:lvl>
    <w:lvl w:ilvl="1">
      <w:lvlJc w:val="left"/>
      <w:lvlText w:val="(%2)"/>
      <w:numFmt w:val="lowerLetter"/>
      <w:start w:val="5"/>
    </w:lvl>
  </w:abstractNum>
  <w:abstractNum w:abstractNumId="41">
    <w:nsid w:val="34FD6B4F"/>
    <w:multiLevelType w:val="hybridMultilevel"/>
    <w:lvl w:ilvl="0">
      <w:lvlJc w:val="left"/>
      <w:lvlText w:val="(%1)"/>
      <w:numFmt w:val="decimal"/>
      <w:start w:val="25"/>
    </w:lvl>
    <w:lvl w:ilvl="1">
      <w:lvlJc w:val="left"/>
      <w:lvlText w:val="%2"/>
      <w:numFmt w:val="lowerLetter"/>
      <w:start w:val="1"/>
    </w:lvl>
  </w:abstractNum>
  <w:abstractNum w:abstractNumId="42">
    <w:nsid w:val="5915FF32"/>
    <w:multiLevelType w:val="hybridMultilevel"/>
    <w:lvl w:ilvl="0">
      <w:lvlJc w:val="left"/>
      <w:lvlText w:val="(%1)"/>
      <w:numFmt w:val="decimal"/>
      <w:start w:val="1"/>
    </w:lvl>
  </w:abstractNum>
  <w:abstractNum w:abstractNumId="43">
    <w:nsid w:val="56438D15"/>
    <w:multiLevelType w:val="hybridMultilevel"/>
    <w:lvl w:ilvl="0">
      <w:lvlJc w:val="left"/>
      <w:lvlText w:val="(%1)"/>
      <w:numFmt w:val="decimal"/>
      <w:start w:val="1"/>
    </w:lvl>
  </w:abstractNum>
  <w:abstractNum w:abstractNumId="44">
    <w:nsid w:val="519E3149"/>
    <w:multiLevelType w:val="hybridMultilevel"/>
    <w:lvl w:ilvl="0">
      <w:lvlJc w:val="left"/>
      <w:lvlText w:val="(%1)"/>
      <w:numFmt w:val="decimal"/>
      <w:start w:val="3"/>
    </w:lvl>
  </w:abstractNum>
  <w:abstractNum w:abstractNumId="45">
    <w:nsid w:val="2C6E4AFD"/>
    <w:multiLevelType w:val="hybridMultilevel"/>
    <w:lvl w:ilvl="0">
      <w:lvlJc w:val="left"/>
      <w:lvlText w:val="(%1)"/>
      <w:numFmt w:val="decimal"/>
      <w:start w:val="1"/>
    </w:lvl>
  </w:abstractNum>
  <w:abstractNum w:abstractNumId="46">
    <w:nsid w:val="17A1B582"/>
    <w:multiLevelType w:val="hybridMultilevel"/>
    <w:lvl w:ilvl="0">
      <w:lvlJc w:val="left"/>
      <w:lvlText w:val="(%1)"/>
      <w:numFmt w:val="decimal"/>
      <w:start w:val="1"/>
    </w:lvl>
  </w:abstractNum>
  <w:abstractNum w:abstractNumId="47">
    <w:nsid w:val="4DF72E4E"/>
    <w:multiLevelType w:val="hybridMultilevel"/>
    <w:lvl w:ilvl="0">
      <w:lvlJc w:val="left"/>
      <w:lvlText w:val="(%1)"/>
      <w:numFmt w:val="decimal"/>
      <w:start w:val="1"/>
    </w:lvl>
  </w:abstractNum>
  <w:abstractNum w:abstractNumId="48">
    <w:nsid w:val="5046B5A9"/>
    <w:multiLevelType w:val="hybridMultilevel"/>
    <w:lvl w:ilvl="0">
      <w:lvlJc w:val="left"/>
      <w:lvlText w:val="(%1)"/>
      <w:numFmt w:val="decimal"/>
      <w:start w:val="1"/>
    </w:lvl>
  </w:abstractNum>
  <w:abstractNum w:abstractNumId="49">
    <w:nsid w:val="5D888A08"/>
    <w:multiLevelType w:val="hybridMultilevel"/>
    <w:lvl w:ilvl="0">
      <w:lvlJc w:val="left"/>
      <w:lvlText w:val="(%1)"/>
      <w:numFmt w:val="decimal"/>
      <w:start w:val="1"/>
    </w:lvl>
  </w:abstractNum>
  <w:abstractNum w:abstractNumId="50">
    <w:nsid w:val="2A082C70"/>
    <w:multiLevelType w:val="hybridMultilevel"/>
    <w:lvl w:ilvl="0">
      <w:lvlJc w:val="left"/>
      <w:lvlText w:val="(%1)"/>
      <w:numFmt w:val="decimal"/>
      <w:start w:val="1"/>
    </w:lvl>
  </w:abstractNum>
  <w:abstractNum w:abstractNumId="51">
    <w:nsid w:val="5EC6AFD4"/>
    <w:multiLevelType w:val="hybridMultilevel"/>
    <w:lvl w:ilvl="0">
      <w:lvlJc w:val="left"/>
      <w:lvlText w:val="(%1)"/>
      <w:numFmt w:val="lowerLetter"/>
      <w:start w:val="1"/>
    </w:lvl>
  </w:abstractNum>
  <w:abstractNum w:abstractNumId="52">
    <w:nsid w:val="19E21BB2"/>
    <w:multiLevelType w:val="hybridMultilevel"/>
    <w:lvl w:ilvl="0">
      <w:lvlJc w:val="left"/>
      <w:lvlText w:val="(%1)"/>
      <w:numFmt w:val="lowerLetter"/>
      <w:start w:val="1"/>
    </w:lvl>
  </w:abstractNum>
  <w:abstractNum w:abstractNumId="53">
    <w:nsid w:val="75E0858A"/>
    <w:multiLevelType w:val="hybridMultilevel"/>
    <w:lvl w:ilvl="0">
      <w:lvlJc w:val="left"/>
      <w:lvlText w:val="(%1)"/>
      <w:numFmt w:val="lowerLetter"/>
      <w:start w:val="2"/>
    </w:lvl>
  </w:abstractNum>
  <w:abstractNum w:abstractNumId="54">
    <w:nsid w:val="57A61A29"/>
    <w:multiLevelType w:val="hybridMultilevel"/>
    <w:lvl w:ilvl="0">
      <w:lvlJc w:val="left"/>
      <w:lvlText w:val="(%1)"/>
      <w:numFmt w:val="lowerLetter"/>
      <w:start w:val="1"/>
    </w:lvl>
  </w:abstractNum>
  <w:abstractNum w:abstractNumId="55">
    <w:nsid w:val="5399C654"/>
    <w:multiLevelType w:val="hybridMultilevel"/>
    <w:lvl w:ilvl="0">
      <w:lvlJc w:val="left"/>
      <w:lvlText w:val="(%1)"/>
      <w:numFmt w:val="decimal"/>
      <w:start w:val="1"/>
    </w:lvl>
  </w:abstractNum>
  <w:abstractNum w:abstractNumId="56">
    <w:nsid w:val="20EE1348"/>
    <w:multiLevelType w:val="hybridMultilevel"/>
    <w:lvl w:ilvl="0">
      <w:lvlJc w:val="left"/>
      <w:lvlText w:val="(%1)"/>
      <w:numFmt w:val="lowerLetter"/>
      <w:start w:val="2"/>
    </w:lvl>
    <w:lvl w:ilvl="1">
      <w:lvlJc w:val="left"/>
      <w:lvlText w:val="(%2)"/>
      <w:numFmt w:val="decimal"/>
      <w:start w:val="1"/>
    </w:lvl>
  </w:abstractNum>
  <w:abstractNum w:abstractNumId="57">
    <w:nsid w:val="4427069A"/>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58">
    <w:nsid w:val="B37E80A"/>
    <w:multiLevelType w:val="hybridMultilevel"/>
    <w:lvl w:ilvl="0">
      <w:lvlJc w:val="left"/>
      <w:lvlText w:val="(%1)"/>
      <w:numFmt w:val="decimal"/>
      <w:start w:val="3"/>
    </w:lvl>
    <w:lvl w:ilvl="1">
      <w:lvlJc w:val="left"/>
      <w:lvlText w:val="(%2)"/>
      <w:numFmt w:val="upperLetter"/>
      <w:start w:val="1"/>
    </w:lvl>
  </w:abstractNum>
  <w:abstractNum w:abstractNumId="59">
    <w:nsid w:val="2157F6BC"/>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60">
    <w:nsid w:val="704E1DD5"/>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61">
    <w:nsid w:val="57D2F10E"/>
    <w:multiLevelType w:val="hybridMultilevel"/>
    <w:lvl w:ilvl="0">
      <w:lvlJc w:val="left"/>
      <w:lvlText w:val="(%1)"/>
      <w:numFmt w:val="lowerLetter"/>
      <w:start w:val="3"/>
    </w:lvl>
    <w:lvl w:ilvl="1">
      <w:lvlJc w:val="left"/>
      <w:lvlText w:val="(%2)"/>
      <w:numFmt w:val="decimal"/>
      <w:start w:val="1"/>
    </w:lvl>
  </w:abstractNum>
  <w:abstractNum w:abstractNumId="62">
    <w:nsid w:val="BFFAE18"/>
    <w:multiLevelType w:val="hybridMultilevel"/>
    <w:lvl w:ilvl="0">
      <w:lvlJc w:val="left"/>
      <w:lvlText w:val="(%1)"/>
      <w:numFmt w:val="upperLetter"/>
      <w:start w:val="1"/>
    </w:lvl>
  </w:abstractNum>
  <w:abstractNum w:abstractNumId="63">
    <w:nsid w:val="E3E47A8"/>
    <w:multiLevelType w:val="hybridMultilevel"/>
    <w:lvl w:ilvl="0">
      <w:lvlJc w:val="left"/>
      <w:lvlText w:val="(%1)"/>
      <w:numFmt w:val="decimal"/>
      <w:start w:val="1"/>
    </w:lvl>
    <w:lvl w:ilvl="1">
      <w:lvlJc w:val="left"/>
      <w:lvlText w:val="(%2)"/>
      <w:numFmt w:val="decimal"/>
      <w:start w:val="2"/>
    </w:lvl>
  </w:abstractNum>
  <w:abstractNum w:abstractNumId="64">
    <w:nsid w:val="2E48F044"/>
    <w:multiLevelType w:val="hybridMultilevel"/>
    <w:lvl w:ilvl="0">
      <w:lvlJc w:val="left"/>
      <w:lvlText w:val="(%1)"/>
      <w:numFmt w:val="upperLetter"/>
      <w:start w:val="1"/>
    </w:lvl>
    <w:lvl w:ilvl="1">
      <w:lvlJc w:val="left"/>
      <w:lvlText w:val="(%2)"/>
      <w:numFmt w:val="lowerRoman"/>
      <w:start w:val="1"/>
    </w:lvl>
  </w:abstractNum>
  <w:abstractNum w:abstractNumId="65">
    <w:nsid w:val="49D0FEAC"/>
    <w:multiLevelType w:val="hybridMultilevel"/>
    <w:lvl w:ilvl="0">
      <w:lvlJc w:val="left"/>
      <w:lvlText w:val="%1"/>
      <w:numFmt w:val="lowerLetter"/>
      <w:start w:val="1"/>
    </w:lvl>
    <w:lvl w:ilvl="1">
      <w:lvlJc w:val="left"/>
      <w:lvlText w:val="(%2)"/>
      <w:numFmt w:val="decimal"/>
      <w:start w:val="3"/>
    </w:lvl>
  </w:abstractNum>
  <w:abstractNum w:abstractNumId="66">
    <w:nsid w:val="4BEE5A5B"/>
    <w:multiLevelType w:val="hybridMultilevel"/>
    <w:lvl w:ilvl="0">
      <w:lvlJc w:val="left"/>
      <w:lvlText w:val="(%1)"/>
      <w:numFmt w:val="lowerLetter"/>
      <w:start w:val="4"/>
    </w:lvl>
    <w:lvl w:ilvl="1">
      <w:lvlJc w:val="left"/>
      <w:lvlText w:val="(%2)"/>
      <w:numFmt w:val="decimal"/>
      <w:start w:val="1"/>
    </w:lvl>
  </w:abstractNum>
  <w:abstractNum w:abstractNumId="67">
    <w:nsid w:val="5551B9F3"/>
    <w:multiLevelType w:val="hybridMultilevel"/>
    <w:lvl w:ilvl="0">
      <w:lvlJc w:val="left"/>
      <w:lvlText w:val="%1"/>
      <w:numFmt w:val="upperLetter"/>
      <w:start w:val="1"/>
    </w:lvl>
    <w:lvl w:ilvl="1">
      <w:lvlJc w:val="left"/>
      <w:lvlText w:val="(%2)"/>
      <w:numFmt w:val="upperLetter"/>
      <w:start w:val="1"/>
    </w:lvl>
  </w:abstractNum>
  <w:abstractNum w:abstractNumId="68">
    <w:nsid w:val="24F6AB8E"/>
    <w:multiLevelType w:val="hybridMultilevel"/>
    <w:lvl w:ilvl="0">
      <w:lvlJc w:val="left"/>
      <w:lvlText w:val="(%1)"/>
      <w:numFmt w:val="upperLetter"/>
      <w:start w:val="4"/>
    </w:lvl>
    <w:lvl w:ilvl="1">
      <w:lvlJc w:val="left"/>
      <w:lvlText w:val="(%2)"/>
      <w:numFmt w:val="upperLetter"/>
      <w:start w:val="6"/>
    </w:lvl>
  </w:abstractNum>
  <w:abstractNum w:abstractNumId="69">
    <w:nsid w:val="634C574C"/>
    <w:multiLevelType w:val="hybridMultilevel"/>
    <w:lvl w:ilvl="0">
      <w:lvlJc w:val="left"/>
      <w:lvlText w:val="(%1)"/>
      <w:numFmt w:val="decimal"/>
      <w:start w:val="2"/>
    </w:lvl>
    <w:lvl w:ilvl="1">
      <w:lvlJc w:val="left"/>
      <w:lvlText w:val="(%2)"/>
      <w:numFmt w:val="upperLetter"/>
      <w:start w:val="1"/>
    </w:lvl>
  </w:abstractNum>
  <w:abstractNum w:abstractNumId="70">
    <w:nsid w:val="24E99DD7"/>
    <w:multiLevelType w:val="hybridMultilevel"/>
    <w:lvl w:ilvl="0">
      <w:lvlJc w:val="left"/>
      <w:lvlText w:val="(%1)"/>
      <w:numFmt w:val="upperLetter"/>
      <w:start w:val="4"/>
    </w:lvl>
    <w:lvl w:ilvl="1">
      <w:lvlJc w:val="left"/>
      <w:lvlText w:val="(%2)"/>
      <w:numFmt w:val="lowerRoman"/>
      <w:start w:val="1"/>
    </w:lvl>
  </w:abstractNum>
  <w:abstractNum w:abstractNumId="71">
    <w:nsid w:val="2A31B62D"/>
    <w:multiLevelType w:val="hybridMultilevel"/>
    <w:lvl w:ilvl="0">
      <w:lvlJc w:val="left"/>
      <w:lvlText w:val="%1"/>
      <w:numFmt w:val="lowerLetter"/>
      <w:start w:val="1"/>
    </w:lvl>
    <w:lvl w:ilvl="1">
      <w:lvlJc w:val="left"/>
      <w:lvlText w:val="(%2)"/>
      <w:numFmt w:val="decimal"/>
      <w:start w:val="3"/>
    </w:lvl>
  </w:abstractNum>
  <w:abstractNum w:abstractNumId="72">
    <w:nsid w:val="1849C29B"/>
    <w:multiLevelType w:val="hybridMultilevel"/>
    <w:lvl w:ilvl="0">
      <w:lvlJc w:val="left"/>
      <w:lvlText w:val="(%1)"/>
      <w:numFmt w:val="lowerLetter"/>
      <w:start w:val="5"/>
    </w:lvl>
    <w:lvl w:ilvl="1">
      <w:lvlJc w:val="left"/>
      <w:lvlText w:val="(%2)"/>
      <w:numFmt w:val="decimal"/>
      <w:start w:val="1"/>
    </w:lvl>
  </w:abstractNum>
  <w:abstractNum w:abstractNumId="73">
    <w:nsid w:val="7DFF9D0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4">
    <w:nsid w:val="75434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5">
    <w:nsid w:val="69E7F3E5"/>
    <w:multiLevelType w:val="hybridMultilevel"/>
    <w:lvl w:ilvl="0">
      <w:lvlJc w:val="left"/>
      <w:lvlText w:val="%1"/>
      <w:numFmt w:val="lowerLetter"/>
      <w:start w:val="1"/>
    </w:lvl>
    <w:lvl w:ilvl="1">
      <w:lvlJc w:val="left"/>
      <w:lvlText w:val="(%2)"/>
      <w:numFmt w:val="decimal"/>
      <w:start w:val="3"/>
    </w:lvl>
  </w:abstractNum>
  <w:abstractNum w:abstractNumId="76">
    <w:nsid w:val="2A6DE806"/>
    <w:multiLevelType w:val="hybridMultilevel"/>
    <w:lvl w:ilvl="0">
      <w:lvlJc w:val="left"/>
      <w:lvlText w:val="(%1)"/>
      <w:numFmt w:val="lowerLetter"/>
      <w:start w:val="6"/>
    </w:lvl>
    <w:lvl w:ilvl="1">
      <w:lvlJc w:val="left"/>
      <w:lvlText w:val="%2"/>
      <w:numFmt w:val="decimal"/>
      <w:start w:val="1"/>
    </w:lvl>
  </w:abstractNum>
  <w:abstractNum w:abstractNumId="77">
    <w:nsid w:val="1816F8C4"/>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78">
    <w:nsid w:val="37DF2233"/>
    <w:multiLevelType w:val="hybridMultilevel"/>
    <w:lvl w:ilvl="0">
      <w:lvlJc w:val="left"/>
      <w:lvlText w:val="(%1)"/>
      <w:numFmt w:val="upperLetter"/>
      <w:start w:val="2"/>
    </w:lvl>
  </w:abstractNum>
  <w:abstractNum w:abstractNumId="79">
    <w:nsid w:val="7AB49DAF"/>
    <w:multiLevelType w:val="hybridMultilevel"/>
    <w:lvl w:ilvl="0">
      <w:lvlJc w:val="left"/>
      <w:lvlText w:val="(%1)"/>
      <w:numFmt w:val="upperLetter"/>
      <w:start w:val="2"/>
    </w:lvl>
    <w:lvl w:ilvl="1">
      <w:lvlJc w:val="left"/>
      <w:lvlText w:val="(%2)"/>
      <w:numFmt w:val="decimal"/>
      <w:start w:val="2"/>
    </w:lvl>
  </w:abstractNum>
  <w:abstractNum w:abstractNumId="80">
    <w:nsid w:val="759F82CD"/>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81">
    <w:nsid w:val="61E74EA3"/>
    <w:multiLevelType w:val="hybridMultilevel"/>
    <w:lvl w:ilvl="0">
      <w:lvlJc w:val="left"/>
      <w:lvlText w:val="(%1)"/>
      <w:numFmt w:val="decimal"/>
      <w:start w:val="6"/>
    </w:lvl>
  </w:abstractNum>
  <w:abstractNum w:abstractNumId="82">
    <w:nsid w:val="597B4D84"/>
    <w:multiLevelType w:val="hybridMultilevel"/>
    <w:lvl w:ilvl="0">
      <w:lvlJc w:val="left"/>
      <w:lvlText w:val="(%1)"/>
      <w:numFmt w:val="lowerLetter"/>
      <w:start w:val="1"/>
    </w:lvl>
    <w:lvl w:ilvl="1">
      <w:lvlJc w:val="left"/>
      <w:lvlText w:val="(%2)"/>
      <w:numFmt w:val="decimal"/>
      <w:start w:val="1"/>
    </w:lvl>
  </w:abstractNum>
  <w:abstractNum w:abstractNumId="83">
    <w:nsid w:val="F819E7F"/>
    <w:multiLevelType w:val="hybridMultilevel"/>
    <w:lvl w:ilvl="0">
      <w:lvlJc w:val="left"/>
      <w:lvlText w:val="(%1)"/>
      <w:numFmt w:val="lowerLetter"/>
      <w:start w:val="1"/>
    </w:lvl>
  </w:abstractNum>
  <w:abstractNum w:abstractNumId="84">
    <w:nsid w:val="57C7D42D"/>
    <w:multiLevelType w:val="hybridMultilevel"/>
    <w:lvl w:ilvl="0">
      <w:lvlJc w:val="left"/>
      <w:lvlText w:val="(%1)"/>
      <w:numFmt w:val="lowerLetter"/>
      <w:start w:val="2"/>
    </w:lvl>
  </w:abstractNum>
  <w:abstractNum w:abstractNumId="85">
    <w:nsid w:val="312167AD"/>
    <w:multiLevelType w:val="hybridMultilevel"/>
    <w:lvl w:ilvl="0">
      <w:lvlJc w:val="left"/>
      <w:lvlText w:val="(%1)"/>
      <w:numFmt w:val="lowerLetter"/>
      <w:start w:val="1"/>
    </w:lvl>
  </w:abstractNum>
  <w:abstractNum w:abstractNumId="86">
    <w:nsid w:val="631B64D4"/>
    <w:multiLevelType w:val="hybridMultilevel"/>
    <w:lvl w:ilvl="0">
      <w:lvlJc w:val="left"/>
      <w:lvlText w:val="(%1)"/>
      <w:numFmt w:val="lowerLetter"/>
      <w:start w:val="5"/>
    </w:lvl>
  </w:abstractNum>
  <w:abstractNum w:abstractNumId="87">
    <w:nsid w:val="78B5E776"/>
    <w:multiLevelType w:val="hybridMultilevel"/>
    <w:lvl w:ilvl="0">
      <w:lvlJc w:val="left"/>
      <w:lvlText w:val="(%1)"/>
      <w:numFmt w:val="lowerLetter"/>
      <w:start w:val="6"/>
    </w:lvl>
  </w:abstractNum>
  <w:abstractNum w:abstractNumId="88">
    <w:nsid w:val="75486E47"/>
    <w:multiLevelType w:val="hybridMultilevel"/>
    <w:lvl w:ilvl="0">
      <w:lvlJc w:val="left"/>
      <w:lvlText w:val="(%1)"/>
      <w:numFmt w:val="lowerLetter"/>
      <w:start w:val="1"/>
    </w:lvl>
  </w:abstractNum>
  <w:abstractNum w:abstractNumId="89">
    <w:nsid w:val="6E534CDE"/>
    <w:multiLevelType w:val="hybridMultilevel"/>
    <w:lvl w:ilvl="0">
      <w:lvlJc w:val="left"/>
      <w:lvlText w:val="(%1)"/>
      <w:numFmt w:val="lowerLetter"/>
      <w:start w:val="3"/>
    </w:lvl>
  </w:abstractNum>
  <w:abstractNum w:abstractNumId="90">
    <w:nsid w:val="1A0DDE32"/>
    <w:multiLevelType w:val="hybridMultilevel"/>
    <w:lvl w:ilvl="0">
      <w:lvlJc w:val="left"/>
      <w:lvlText w:val="(%1)"/>
      <w:numFmt w:val="lowerLetter"/>
      <w:start w:val="1"/>
    </w:lvl>
    <w:lvl w:ilvl="1">
      <w:lvlJc w:val="left"/>
      <w:lvlText w:val="(%2)"/>
      <w:numFmt w:val="decimal"/>
      <w:start w:val="1"/>
    </w:lvl>
  </w:abstractNum>
  <w:abstractNum w:abstractNumId="91">
    <w:nsid w:val="65968C1C"/>
    <w:multiLevelType w:val="hybridMultilevel"/>
    <w:lvl w:ilvl="0">
      <w:lvlJc w:val="left"/>
      <w:lvlText w:val="(%1)"/>
      <w:numFmt w:val="lowerLetter"/>
      <w:start w:val="2"/>
    </w:lvl>
  </w:abstractNum>
  <w:abstractNum w:abstractNumId="92">
    <w:nsid w:val="46263DEC"/>
    <w:multiLevelType w:val="hybridMultilevel"/>
    <w:lvl w:ilvl="0">
      <w:lvlJc w:val="left"/>
      <w:lvlText w:val="(%1)"/>
      <w:numFmt w:val="lowerLetter"/>
      <w:start w:val="6"/>
    </w:lvl>
  </w:abstractNum>
  <w:abstractNum w:abstractNumId="93">
    <w:nsid w:val="260D8C4A"/>
    <w:multiLevelType w:val="hybridMultilevel"/>
    <w:lvl w:ilvl="0">
      <w:lvlJc w:val="left"/>
      <w:lvlText w:val="(%1)"/>
      <w:numFmt w:val="lowerLetter"/>
      <w:start w:val="1"/>
    </w:lvl>
  </w:abstractNum>
  <w:abstractNum w:abstractNumId="94">
    <w:nsid w:val="73D4D3C4"/>
    <w:multiLevelType w:val="hybridMultilevel"/>
    <w:lvl w:ilvl="0">
      <w:lvlJc w:val="left"/>
      <w:lvlText w:val="(%1)"/>
      <w:numFmt w:val="lowerLetter"/>
      <w:start w:val="1"/>
    </w:lvl>
    <w:lvl w:ilvl="1">
      <w:lvlJc w:val="left"/>
      <w:lvlText w:val="(%2)"/>
      <w:numFmt w:val="decimal"/>
      <w:start w:val="1"/>
    </w:lvl>
  </w:abstractNum>
  <w:abstractNum w:abstractNumId="95">
    <w:nsid w:val="746F2E30"/>
    <w:multiLevelType w:val="hybridMultilevel"/>
    <w:lvl w:ilvl="0">
      <w:lvlJc w:val="left"/>
      <w:lvlText w:val="(%1)"/>
      <w:numFmt w:val="upperLetter"/>
      <w:start w:val="1"/>
    </w:lvl>
  </w:abstractNum>
  <w:abstractNum w:abstractNumId="96">
    <w:nsid w:val="6FDE8AF6"/>
    <w:multiLevelType w:val="hybridMultilevel"/>
    <w:lvl w:ilvl="0">
      <w:lvlJc w:val="left"/>
      <w:lvlText w:val="(%1)"/>
      <w:numFmt w:val="lowerRoman"/>
      <w:start w:val="1"/>
    </w:lvl>
  </w:abstractNum>
  <w:abstractNum w:abstractNumId="97">
    <w:nsid w:val="3FC32E20"/>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Roman"/>
      <w:start w:val="6"/>
    </w:lvl>
  </w:abstractNum>
  <w:abstractNum w:abstractNumId="98">
    <w:nsid w:val="49C0E823"/>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99">
    <w:nsid w:val="14D53685"/>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3"/>
    </w:lvl>
    <w:lvl w:ilvl="3">
      <w:lvlJc w:val="left"/>
      <w:lvlText w:val="%4"/>
      <w:numFmt w:val="lowerRoman"/>
      <w:start w:val="1"/>
    </w:lvl>
  </w:abstractNum>
  <w:abstractNum w:abstractNumId="100">
    <w:nsid w:val="230F856C"/>
    <w:multiLevelType w:val="hybridMultilevel"/>
    <w:lvl w:ilvl="0">
      <w:lvlJc w:val="left"/>
      <w:lvlText w:val="(%1)"/>
      <w:numFmt w:val="decimal"/>
      <w:start w:val="5"/>
    </w:lvl>
  </w:abstractNum>
  <w:abstractNum w:abstractNumId="101">
    <w:nsid w:val="6EAA85FB"/>
    <w:multiLevelType w:val="hybridMultilevel"/>
    <w:lvl w:ilvl="0">
      <w:lvlJc w:val="left"/>
      <w:lvlText w:val="(%1)"/>
      <w:numFmt w:val="decimal"/>
      <w:start w:val="12"/>
    </w:lvl>
  </w:abstractNum>
  <w:abstractNum w:abstractNumId="102">
    <w:nsid w:val="3F06ECB2"/>
    <w:multiLevelType w:val="hybridMultilevel"/>
    <w:lvl w:ilvl="0">
      <w:lvlJc w:val="left"/>
      <w:lvlText w:val="(%1)"/>
      <w:numFmt w:val="decimal"/>
      <w:start w:val="12"/>
    </w:lvl>
  </w:abstractNum>
  <w:abstractNum w:abstractNumId="103">
    <w:nsid w:val="3B594807"/>
    <w:multiLevelType w:val="hybridMultilevel"/>
    <w:lvl w:ilvl="0">
      <w:lvlJc w:val="left"/>
      <w:lvlText w:val="(%1)"/>
      <w:numFmt w:val="lowerLetter"/>
      <w:start w:val="1"/>
    </w:lvl>
    <w:lvl w:ilvl="1">
      <w:lvlJc w:val="left"/>
      <w:lvlText w:val="(%2)"/>
      <w:numFmt w:val="decimal"/>
      <w:start w:val="1"/>
    </w:lvl>
  </w:abstractNum>
  <w:abstractNum w:abstractNumId="104">
    <w:nsid w:val="6CAA2304"/>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05">
    <w:nsid w:val="3F7C2FF4"/>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06">
    <w:nsid w:val="25413BEC"/>
    <w:multiLevelType w:val="hybridMultilevel"/>
    <w:lvl w:ilvl="0">
      <w:lvlJc w:val="left"/>
      <w:lvlText w:val="%1"/>
      <w:numFmt w:val="lowerLetter"/>
      <w:start w:val="1"/>
    </w:lvl>
    <w:lvl w:ilvl="1">
      <w:lvlJc w:val="left"/>
      <w:lvlText w:val="(%2)"/>
      <w:numFmt w:val="decimal"/>
      <w:start w:val="8"/>
    </w:lvl>
  </w:abstractNum>
  <w:abstractNum w:abstractNumId="107">
    <w:nsid w:val="17180B0B"/>
    <w:multiLevelType w:val="hybridMultilevel"/>
    <w:lvl w:ilvl="0">
      <w:lvlJc w:val="left"/>
      <w:lvlText w:val="(%1)"/>
      <w:numFmt w:val="lowerLetter"/>
      <w:start w:val="25"/>
    </w:lvl>
    <w:lvl w:ilvl="1">
      <w:lvlJc w:val="left"/>
      <w:lvlText w:val="(%2)"/>
      <w:numFmt w:val="decimal"/>
      <w:start w:val="16"/>
    </w:lvl>
  </w:abstractNum>
  <w:abstractNum w:abstractNumId="108">
    <w:nsid w:val="579328B9"/>
    <w:multiLevelType w:val="hybridMultilevel"/>
    <w:lvl w:ilvl="0">
      <w:lvlJc w:val="left"/>
      <w:lvlText w:val="(%1)"/>
      <w:numFmt w:val="decimal"/>
      <w:start w:val="18"/>
    </w:lvl>
  </w:abstractNum>
  <w:abstractNum w:abstractNumId="109">
    <w:nsid w:val="5D205E20"/>
    <w:multiLevelType w:val="hybridMultilevel"/>
    <w:lvl w:ilvl="0">
      <w:lvlJc w:val="left"/>
      <w:lvlText w:val="(%1)"/>
      <w:numFmt w:val="lowerLetter"/>
      <w:start w:val="1"/>
    </w:lvl>
    <w:lvl w:ilvl="1">
      <w:lvlJc w:val="left"/>
      <w:lvlText w:val="(%2)"/>
      <w:numFmt w:val="decimal"/>
      <w:start w:val="1"/>
    </w:lvl>
  </w:abstractNum>
  <w:abstractNum w:abstractNumId="110">
    <w:nsid w:val="11CCA8BA"/>
    <w:multiLevelType w:val="hybridMultilevel"/>
    <w:lvl w:ilvl="0">
      <w:lvlJc w:val="left"/>
      <w:lvlText w:val="(%1)"/>
      <w:numFmt w:val="decimal"/>
      <w:start w:val="5"/>
    </w:lvl>
    <w:lvl w:ilvl="1">
      <w:lvlJc w:val="left"/>
      <w:lvlText w:val="(%2)"/>
      <w:numFmt w:val="upperLetter"/>
      <w:start w:val="1"/>
    </w:lvl>
  </w:abstractNum>
  <w:abstractNum w:abstractNumId="111">
    <w:nsid w:val="4D32AB86"/>
    <w:multiLevelType w:val="hybridMultilevel"/>
    <w:lvl w:ilvl="0">
      <w:lvlJc w:val="left"/>
      <w:lvlText w:val="(%1)"/>
      <w:numFmt w:val="decimal"/>
      <w:start w:val="7"/>
    </w:lvl>
    <w:lvl w:ilvl="1">
      <w:lvlJc w:val="left"/>
      <w:lvlText w:val="(%2)"/>
      <w:numFmt w:val="upperLetter"/>
      <w:start w:val="1"/>
    </w:lvl>
  </w:abstractNum>
  <w:abstractNum w:abstractNumId="112">
    <w:nsid w:val="3F07ACC3"/>
    <w:multiLevelType w:val="hybridMultilevel"/>
    <w:lvl w:ilvl="0">
      <w:lvlJc w:val="left"/>
      <w:lvlText w:val="(%1)"/>
      <w:numFmt w:val="decimal"/>
      <w:start w:val="8"/>
    </w:lvl>
  </w:abstractNum>
  <w:abstractNum w:abstractNumId="113">
    <w:nsid w:val="6B47F63E"/>
    <w:multiLevelType w:val="hybridMultilevel"/>
    <w:lvl w:ilvl="0">
      <w:lvlJc w:val="left"/>
      <w:lvlText w:val="(%1)"/>
      <w:numFmt w:val="decimal"/>
      <w:start w:val="9"/>
    </w:lvl>
  </w:abstractNum>
  <w:abstractNum w:abstractNumId="114">
    <w:nsid w:val="5CB44A05"/>
    <w:multiLevelType w:val="hybridMultilevel"/>
    <w:lvl w:ilvl="0">
      <w:lvlJc w:val="left"/>
      <w:lvlText w:val="(%1)"/>
      <w:numFmt w:val="upperLetter"/>
      <w:start w:val="1"/>
    </w:lvl>
    <w:lvl w:ilvl="1">
      <w:lvlJc w:val="left"/>
      <w:lvlText w:val="(%2)"/>
      <w:numFmt w:val="lowerRoman"/>
      <w:start w:val="1"/>
    </w:lvl>
  </w:abstractNum>
  <w:abstractNum w:abstractNumId="115">
    <w:nsid w:val="16CF80F1"/>
    <w:multiLevelType w:val="hybridMultilevel"/>
    <w:lvl w:ilvl="0">
      <w:lvlJc w:val="left"/>
      <w:lvlText w:val="(%1)"/>
      <w:numFmt w:val="lowerLetter"/>
      <w:start w:val="1"/>
    </w:lvl>
  </w:abstractNum>
  <w:abstractNum w:abstractNumId="116">
    <w:nsid w:val="1C695DEC"/>
    <w:multiLevelType w:val="hybridMultilevel"/>
    <w:lvl w:ilvl="0">
      <w:lvlJc w:val="left"/>
      <w:lvlText w:val="(%1)"/>
      <w:numFmt w:val="lowerLetter"/>
      <w:start w:val="2"/>
    </w:lvl>
  </w:abstractNum>
  <w:abstractNum w:abstractNumId="117">
    <w:nsid w:val="3FCFAED9"/>
    <w:multiLevelType w:val="hybridMultilevel"/>
    <w:lvl w:ilvl="0">
      <w:lvlJc w:val="left"/>
      <w:lvlText w:val="%1"/>
      <w:numFmt w:val="lowerLetter"/>
      <w:start w:val="1"/>
    </w:lvl>
    <w:lvl w:ilvl="1">
      <w:lvlJc w:val="left"/>
      <w:lvlText w:val="(%2)"/>
      <w:numFmt w:val="decimal"/>
      <w:start w:val="1"/>
    </w:lvl>
  </w:abstractNum>
  <w:abstractNum w:abstractNumId="118">
    <w:nsid w:val="F856867"/>
    <w:multiLevelType w:val="hybridMultilevel"/>
    <w:lvl w:ilvl="0">
      <w:lvlJc w:val="left"/>
      <w:lvlText w:val="(%1)"/>
      <w:numFmt w:val="lowerLetter"/>
      <w:start w:val="3"/>
    </w:lvl>
    <w:lvl w:ilvl="1">
      <w:lvlJc w:val="left"/>
      <w:lvlText w:val="(%2)"/>
      <w:numFmt w:val="decimal"/>
      <w:start w:val="1"/>
    </w:lvl>
  </w:abstractNum>
  <w:abstractNum w:abstractNumId="119">
    <w:nsid w:val="11B1CC33"/>
    <w:multiLevelType w:val="hybridMultilevel"/>
    <w:lvl w:ilvl="0">
      <w:lvlJc w:val="left"/>
      <w:lvlText w:val="(%1)"/>
      <w:numFmt w:val="lowerLetter"/>
      <w:start w:val="5"/>
    </w:lvl>
  </w:abstractNum>
  <w:abstractNum w:abstractNumId="120">
    <w:nsid w:val="2E22FBB7"/>
    <w:multiLevelType w:val="hybridMultilevel"/>
    <w:lvl w:ilvl="0">
      <w:lvlJc w:val="left"/>
      <w:lvlText w:val="(%1)"/>
      <w:numFmt w:val="lowerLetter"/>
      <w:start w:val="1"/>
    </w:lvl>
  </w:abstractNum>
  <w:abstractNum w:abstractNumId="121">
    <w:nsid w:val="29934699"/>
    <w:multiLevelType w:val="hybridMultilevel"/>
    <w:lvl w:ilvl="0">
      <w:lvlJc w:val="left"/>
      <w:lvlText w:val="%1"/>
      <w:numFmt w:val="lowerLetter"/>
      <w:start w:val="1"/>
    </w:lvl>
    <w:lvl w:ilvl="1">
      <w:lvlJc w:val="left"/>
      <w:lvlText w:val="(%2)"/>
      <w:numFmt w:val="decimal"/>
      <w:start w:val="1"/>
    </w:lvl>
  </w:abstractNum>
  <w:abstractNum w:abstractNumId="122">
    <w:nsid w:val="77485850"/>
    <w:multiLevelType w:val="hybridMultilevel"/>
    <w:lvl w:ilvl="0">
      <w:lvlJc w:val="left"/>
      <w:lvlText w:val="(%1)"/>
      <w:numFmt w:val="lowerLetter"/>
      <w:start w:val="2"/>
    </w:lvl>
    <w:lvl w:ilvl="1">
      <w:lvlJc w:val="left"/>
      <w:lvlText w:val="(%2)"/>
      <w:numFmt w:val="decimal"/>
      <w:start w:val="1"/>
    </w:lvl>
  </w:abstractNum>
  <w:abstractNum w:abstractNumId="123">
    <w:nsid w:val="744939A3"/>
    <w:multiLevelType w:val="hybridMultilevel"/>
    <w:lvl w:ilvl="0">
      <w:lvlJc w:val="left"/>
      <w:lvlText w:val="%1"/>
      <w:numFmt w:val="lowerLetter"/>
      <w:start w:val="1"/>
    </w:lvl>
    <w:lvl w:ilvl="1">
      <w:lvlJc w:val="left"/>
      <w:lvlText w:val="(%2)"/>
      <w:numFmt w:val="decimal"/>
      <w:start w:val="9"/>
    </w:lvl>
  </w:abstractNum>
  <w:abstractNum w:abstractNumId="124">
    <w:nsid w:val="4FA0D2E3"/>
    <w:multiLevelType w:val="hybridMultilevel"/>
    <w:lvl w:ilvl="0">
      <w:lvlJc w:val="left"/>
      <w:lvlText w:val="(%1)"/>
      <w:numFmt w:val="lowerLetter"/>
      <w:start w:val="2"/>
    </w:lvl>
    <w:lvl w:ilvl="1">
      <w:lvlJc w:val="left"/>
      <w:lvlText w:val="(%2)"/>
      <w:numFmt w:val="decimal"/>
      <w:start w:val="10"/>
    </w:lvl>
  </w:abstractNum>
  <w:abstractNum w:abstractNumId="125">
    <w:nsid w:val="6B1D2C14"/>
    <w:multiLevelType w:val="hybridMultilevel"/>
    <w:lvl w:ilvl="0">
      <w:lvlJc w:val="left"/>
      <w:lvlText w:val="(%1)"/>
      <w:numFmt w:val="lowerLetter"/>
      <w:start w:val="1"/>
    </w:lvl>
  </w:abstractNum>
  <w:abstractNum w:abstractNumId="126">
    <w:nsid w:val="68B867D3"/>
    <w:multiLevelType w:val="hybridMultilevel"/>
    <w:lvl w:ilvl="0">
      <w:lvlJc w:val="left"/>
      <w:lvlText w:val="(%1)"/>
      <w:numFmt w:val="lowerLetter"/>
      <w:start w:val="2"/>
    </w:lvl>
    <w:lvl w:ilvl="1">
      <w:lvlJc w:val="left"/>
      <w:lvlText w:val="(%2)"/>
      <w:numFmt w:val="decimal"/>
      <w:start w:val="1"/>
    </w:lvl>
  </w:abstractNum>
  <w:abstractNum w:abstractNumId="127">
    <w:nsid w:val="3F7F5DD9"/>
    <w:multiLevelType w:val="hybridMultilevel"/>
    <w:lvl w:ilvl="0">
      <w:lvlJc w:val="left"/>
      <w:lvlText w:val="(%1)"/>
      <w:numFmt w:val="lowerLetter"/>
      <w:start w:val="3"/>
    </w:lvl>
  </w:abstractNum>
  <w:abstractNum w:abstractNumId="128">
    <w:nsid w:val="2AE05A3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9">
    <w:nsid w:val="32794FF7"/>
    <w:multiLevelType w:val="hybridMultilevel"/>
    <w:lvl w:ilvl="0">
      <w:lvlJc w:val="left"/>
      <w:lvlText w:val="(%1)"/>
      <w:numFmt w:val="lowerLetter"/>
      <w:start w:val="3"/>
    </w:lvl>
  </w:abstractNum>
  <w:abstractNum w:abstractNumId="130">
    <w:nsid w:val="5454945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1">
    <w:nsid w:val="4DEFDFA0"/>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32">
    <w:nsid w:val="2123D5F2"/>
    <w:multiLevelType w:val="hybridMultilevel"/>
    <w:lvl w:ilvl="0">
      <w:lvlJc w:val="left"/>
      <w:lvlText w:val="(%1)"/>
      <w:numFmt w:val="lowerLetter"/>
      <w:start w:val="5"/>
    </w:lvl>
  </w:abstractNum>
  <w:abstractNum w:abstractNumId="133">
    <w:nsid w:val="135B8110"/>
    <w:multiLevelType w:val="hybridMultilevel"/>
    <w:lvl w:ilvl="0">
      <w:lvlJc w:val="left"/>
      <w:lvlText w:val="(%1)"/>
      <w:numFmt w:val="lowerLetter"/>
      <w:start w:val="1"/>
    </w:lvl>
  </w:abstractNum>
  <w:abstractNum w:abstractNumId="134">
    <w:nsid w:val="94927A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35">
    <w:nsid w:val="DCDF8F6"/>
    <w:multiLevelType w:val="hybridMultilevel"/>
    <w:lvl w:ilvl="0">
      <w:lvlJc w:val="left"/>
      <w:lvlText w:val="(%1)"/>
      <w:numFmt w:val="decimal"/>
      <w:start w:val="2"/>
    </w:lvl>
    <w:lvl w:ilvl="1">
      <w:lvlJc w:val="left"/>
      <w:lvlText w:val="(%2)"/>
      <w:numFmt w:val="lowerLetter"/>
      <w:start w:val="6"/>
    </w:lvl>
    <w:lvl w:ilvl="2">
      <w:lvlJc w:val="left"/>
      <w:lvlText w:val="(%3)"/>
      <w:numFmt w:val="decimal"/>
      <w:start w:val="1"/>
    </w:lvl>
  </w:abstractNum>
  <w:abstractNum w:abstractNumId="136">
    <w:nsid w:val="52D7B105"/>
    <w:multiLevelType w:val="hybridMultilevel"/>
    <w:lvl w:ilvl="0">
      <w:lvlJc w:val="left"/>
      <w:lvlText w:val="(%1)"/>
      <w:numFmt w:val="lowerLetter"/>
      <w:start w:val="8"/>
    </w:lvl>
    <w:lvl w:ilvl="1">
      <w:lvlJc w:val="left"/>
      <w:lvlText w:val="(%2)"/>
      <w:numFmt w:val="decimal"/>
      <w:start w:val="1"/>
    </w:lvl>
  </w:abstractNum>
  <w:abstractNum w:abstractNumId="137">
    <w:nsid w:val="2E8A6394"/>
    <w:multiLevelType w:val="hybridMultilevel"/>
    <w:lvl w:ilvl="0">
      <w:lvlJc w:val="left"/>
      <w:lvlText w:val="%1"/>
      <w:numFmt w:val="lowerLetter"/>
      <w:start w:val="1"/>
    </w:lvl>
    <w:lvl w:ilvl="1">
      <w:lvlJc w:val="left"/>
      <w:lvlText w:val="(%2)"/>
      <w:numFmt w:val="decimal"/>
      <w:start w:val="3"/>
    </w:lvl>
  </w:abstractNum>
  <w:abstractNum w:abstractNumId="138">
    <w:nsid w:val="24E60401"/>
    <w:multiLevelType w:val="hybridMultilevel"/>
    <w:lvl w:ilvl="0">
      <w:lvlJc w:val="left"/>
      <w:lvlText w:val="(%1)"/>
      <w:numFmt w:val="lowerLetter"/>
      <w:start w:val="10"/>
    </w:lvl>
    <w:lvl w:ilvl="1">
      <w:lvlJc w:val="left"/>
      <w:lvlText w:val="(%2)"/>
      <w:numFmt w:val="decimal"/>
      <w:start w:val="1"/>
    </w:lvl>
  </w:abstractNum>
  <w:abstractNum w:abstractNumId="139">
    <w:nsid w:val="2A6AD9BE"/>
    <w:multiLevelType w:val="hybridMultilevel"/>
    <w:lvl w:ilvl="0">
      <w:lvlJc w:val="left"/>
      <w:lvlText w:val="(%1)"/>
      <w:numFmt w:val="lowerLetter"/>
      <w:start w:val="11"/>
    </w:lvl>
  </w:abstractNum>
  <w:abstractNum w:abstractNumId="140">
    <w:nsid w:val="BAAC1B4"/>
    <w:multiLevelType w:val="hybridMultilevel"/>
    <w:lvl w:ilvl="0">
      <w:lvlJc w:val="left"/>
      <w:lvlText w:val="(%1)"/>
      <w:numFmt w:val="lowerLetter"/>
      <w:start w:val="1"/>
    </w:lvl>
  </w:abstractNum>
  <w:abstractNum w:abstractNumId="141">
    <w:nsid w:val="36B2ACBC"/>
    <w:multiLevelType w:val="hybridMultilevel"/>
    <w:lvl w:ilvl="0">
      <w:lvlJc w:val="left"/>
      <w:lvlText w:val="(%1)"/>
      <w:numFmt w:val="lowerLetter"/>
      <w:start w:val="5"/>
    </w:lvl>
  </w:abstractNum>
  <w:abstractNum w:abstractNumId="142">
    <w:nsid w:val="779D8544"/>
    <w:multiLevelType w:val="hybridMultilevel"/>
    <w:lvl w:ilvl="0">
      <w:lvlJc w:val="left"/>
      <w:lvlText w:val="(%1)"/>
      <w:numFmt w:val="lowerLetter"/>
      <w:start w:val="1"/>
    </w:lvl>
    <w:lvl w:ilvl="1">
      <w:lvlJc w:val="left"/>
      <w:lvlText w:val="(%2)"/>
      <w:numFmt w:val="decimal"/>
      <w:start w:val="1"/>
    </w:lvl>
  </w:abstractNum>
  <w:abstractNum w:abstractNumId="143">
    <w:nsid w:val="4AB26E78"/>
    <w:multiLevelType w:val="hybridMultilevel"/>
    <w:lvl w:ilvl="0">
      <w:lvlJc w:val="left"/>
      <w:lvlText w:val="%1"/>
      <w:numFmt w:val="lowerLetter"/>
      <w:start w:val="1"/>
    </w:lvl>
    <w:lvl w:ilvl="1">
      <w:lvlJc w:val="left"/>
      <w:lvlText w:val="(%2)"/>
      <w:numFmt w:val="decimal"/>
      <w:start w:val="1"/>
    </w:lvl>
  </w:abstractNum>
  <w:abstractNum w:abstractNumId="144">
    <w:nsid w:val="21FAA2FA"/>
    <w:multiLevelType w:val="hybridMultilevel"/>
    <w:lvl w:ilvl="0">
      <w:lvlJc w:val="left"/>
      <w:lvlText w:val="(%1)"/>
      <w:numFmt w:val="lowerLetter"/>
      <w:start w:val="4"/>
    </w:lvl>
    <w:lvl w:ilvl="1">
      <w:lvlJc w:val="left"/>
      <w:lvlText w:val="%2"/>
      <w:numFmt w:val="decimal"/>
      <w:start w:val="1"/>
    </w:lvl>
  </w:abstractNum>
  <w:abstractNum w:abstractNumId="145">
    <w:nsid w:val="5451CF49"/>
    <w:multiLevelType w:val="hybridMultilevel"/>
    <w:lvl w:ilvl="0">
      <w:lvlJc w:val="left"/>
      <w:lvlText w:val="(%1)"/>
      <w:numFmt w:val="lowerLetter"/>
      <w:start w:val="1"/>
    </w:lvl>
  </w:abstractNum>
  <w:abstractNum w:abstractNumId="146">
    <w:nsid w:val="6181EF69"/>
    <w:multiLevelType w:val="hybridMultilevel"/>
    <w:lvl w:ilvl="0">
      <w:lvlJc w:val="left"/>
      <w:lvlText w:val="(%1)"/>
      <w:numFmt w:val="lowerLetter"/>
      <w:start w:val="7"/>
    </w:lvl>
  </w:abstractNum>
  <w:abstractNum w:abstractNumId="147">
    <w:nsid w:val="3E6400E6"/>
    <w:multiLevelType w:val="hybridMultilevel"/>
    <w:lvl w:ilvl="0">
      <w:lvlJc w:val="left"/>
      <w:lvlText w:val="(%1)"/>
      <w:numFmt w:val="lowerLetter"/>
      <w:start w:val="1"/>
    </w:lvl>
  </w:abstractNum>
  <w:abstractNum w:abstractNumId="148">
    <w:nsid w:val="14217E23"/>
    <w:multiLevelType w:val="hybridMultilevel"/>
    <w:lvl w:ilvl="0">
      <w:lvlJc w:val="left"/>
      <w:lvlText w:val="(%1)"/>
      <w:numFmt w:val="lowerLetter"/>
      <w:start w:val="4"/>
    </w:lvl>
  </w:abstractNum>
  <w:abstractNum w:abstractNumId="149">
    <w:nsid w:val="710757D0"/>
    <w:multiLevelType w:val="hybridMultilevel"/>
    <w:lvl w:ilvl="0">
      <w:lvlJc w:val="left"/>
      <w:lvlText w:val="(%1)"/>
      <w:numFmt w:val="lowerLetter"/>
      <w:start w:val="1"/>
    </w:lvl>
    <w:lvl w:ilvl="1">
      <w:lvlJc w:val="left"/>
      <w:lvlText w:val="(%2)"/>
      <w:numFmt w:val="decimal"/>
      <w:start w:val="1"/>
    </w:lvl>
  </w:abstractNum>
  <w:abstractNum w:abstractNumId="150">
    <w:nsid w:val="5015CD1A"/>
    <w:multiLevelType w:val="hybridMultilevel"/>
    <w:lvl w:ilvl="0">
      <w:lvlJc w:val="left"/>
      <w:lvlText w:val="(%1)"/>
      <w:numFmt w:val="lowerLetter"/>
      <w:start w:val="1"/>
    </w:lvl>
  </w:abstractNum>
  <w:abstractNum w:abstractNumId="151">
    <w:nsid w:val="424479DA"/>
    <w:multiLevelType w:val="hybridMultilevel"/>
    <w:lvl w:ilvl="0">
      <w:lvlJc w:val="left"/>
      <w:lvlText w:val="(%1)"/>
      <w:numFmt w:val="lowerLetter"/>
      <w:start w:val="1"/>
    </w:lvl>
  </w:abstractNum>
  <w:abstractNum w:abstractNumId="152">
    <w:nsid w:val="1A9A9E69"/>
    <w:multiLevelType w:val="hybridMultilevel"/>
    <w:lvl w:ilvl="0">
      <w:lvlJc w:val="left"/>
      <w:lvlText w:val="(%1)"/>
      <w:numFmt w:val="lowerLetter"/>
      <w:start w:val="2"/>
    </w:lvl>
    <w:lvl w:ilvl="1">
      <w:lvlJc w:val="left"/>
      <w:lvlText w:val="(%2)"/>
      <w:numFmt w:val="decimal"/>
      <w:start w:val="1"/>
    </w:lvl>
  </w:abstractNum>
  <w:abstractNum w:abstractNumId="153">
    <w:nsid w:val="475E256A"/>
    <w:multiLevelType w:val="hybridMultilevel"/>
    <w:lvl w:ilvl="0">
      <w:lvlJc w:val="left"/>
      <w:lvlText w:val="(%1)"/>
      <w:numFmt w:val="lowerLetter"/>
      <w:start w:val="1"/>
    </w:lvl>
  </w:abstractNum>
  <w:abstractNum w:abstractNumId="154">
    <w:nsid w:val="368DB37E"/>
    <w:multiLevelType w:val="hybridMultilevel"/>
    <w:lvl w:ilvl="0">
      <w:lvlJc w:val="left"/>
      <w:lvlText w:val="(%1)"/>
      <w:numFmt w:val="lowerLetter"/>
      <w:start w:val="3"/>
    </w:lvl>
  </w:abstractNum>
  <w:abstractNum w:abstractNumId="155">
    <w:nsid w:val="6A3B714C"/>
    <w:multiLevelType w:val="hybridMultilevel"/>
    <w:lvl w:ilvl="0">
      <w:lvlJc w:val="left"/>
      <w:lvlText w:val="(%1)"/>
      <w:numFmt w:val="lowerLetter"/>
      <w:start w:val="1"/>
    </w:lvl>
  </w:abstractNum>
  <w:abstractNum w:abstractNumId="156">
    <w:nsid w:val="327B517E"/>
    <w:multiLevelType w:val="hybridMultilevel"/>
    <w:lvl w:ilvl="0">
      <w:lvlJc w:val="left"/>
      <w:lvlText w:val="(%1)"/>
      <w:numFmt w:val="lowerLetter"/>
      <w:start w:val="2"/>
    </w:lvl>
  </w:abstractNum>
  <w:abstractNum w:abstractNumId="157">
    <w:nsid w:val="1F461B51"/>
    <w:multiLevelType w:val="hybridMultilevel"/>
    <w:lvl w:ilvl="0">
      <w:lvlJc w:val="left"/>
      <w:lvlText w:val="(%1)"/>
      <w:numFmt w:val="lowerLetter"/>
      <w:start w:val="1"/>
    </w:lvl>
    <w:lvl w:ilvl="1">
      <w:lvlJc w:val="left"/>
      <w:lvlText w:val="(%2)"/>
      <w:numFmt w:val="decimal"/>
      <w:start w:val="1"/>
    </w:lvl>
  </w:abstractNum>
  <w:abstractNum w:abstractNumId="158">
    <w:nsid w:val="29BACF25"/>
    <w:multiLevelType w:val="hybridMultilevel"/>
    <w:lvl w:ilvl="0">
      <w:lvlJc w:val="left"/>
      <w:lvlText w:val="(%1)"/>
      <w:numFmt w:val="lowerLetter"/>
      <w:start w:val="2"/>
    </w:lvl>
  </w:abstractNum>
  <w:abstractNum w:abstractNumId="159">
    <w:nsid w:val="5D5BABB3"/>
    <w:multiLevelType w:val="hybridMultilevel"/>
    <w:lvl w:ilvl="0">
      <w:lvlJc w:val="left"/>
      <w:lvlText w:val="(%1)"/>
      <w:numFmt w:val="lowerLetter"/>
      <w:start w:val="1"/>
    </w:lvl>
  </w:abstractNum>
  <w:abstractNum w:abstractNumId="160">
    <w:nsid w:val="51BF6B48"/>
    <w:multiLevelType w:val="hybridMultilevel"/>
    <w:lvl w:ilvl="0">
      <w:lvlJc w:val="left"/>
      <w:lvlText w:val="(%1)"/>
      <w:numFmt w:val="lowerLetter"/>
      <w:start w:val="1"/>
    </w:lvl>
    <w:lvl w:ilvl="1">
      <w:lvlJc w:val="left"/>
      <w:lvlText w:val="(%2)"/>
      <w:numFmt w:val="decimal"/>
      <w:start w:val="1"/>
    </w:lvl>
  </w:abstractNum>
  <w:abstractNum w:abstractNumId="161">
    <w:nsid w:val="7E0F6384"/>
    <w:multiLevelType w:val="hybridMultilevel"/>
    <w:lvl w:ilvl="0">
      <w:lvlJc w:val="left"/>
      <w:lvlText w:val="(%1)"/>
      <w:numFmt w:val="lowerLetter"/>
      <w:start w:val="1"/>
    </w:lvl>
  </w:abstractNum>
  <w:abstractNum w:abstractNumId="162">
    <w:nsid w:val="2B4B8B53"/>
    <w:multiLevelType w:val="hybridMultilevel"/>
    <w:lvl w:ilvl="0">
      <w:lvlJc w:val="left"/>
      <w:lvlText w:val="(%1)"/>
      <w:numFmt w:val="lowerLetter"/>
      <w:start w:val="1"/>
    </w:lvl>
  </w:abstractNum>
  <w:abstractNum w:abstractNumId="163">
    <w:nsid w:val="72E3413A"/>
    <w:multiLevelType w:val="hybridMultilevel"/>
    <w:lvl w:ilvl="0">
      <w:lvlJc w:val="left"/>
      <w:lvlText w:val="(%1)"/>
      <w:numFmt w:val="lowerLetter"/>
      <w:start w:val="1"/>
    </w:lvl>
  </w:abstractNum>
  <w:abstractNum w:abstractNumId="164">
    <w:nsid w:val="116AE494"/>
    <w:multiLevelType w:val="hybridMultilevel"/>
    <w:lvl w:ilvl="0">
      <w:lvlJc w:val="left"/>
      <w:lvlText w:val="(%1)"/>
      <w:numFmt w:val="lowerLetter"/>
      <w:start w:val="2"/>
    </w:lvl>
  </w:abstractNum>
  <w:abstractNum w:abstractNumId="165">
    <w:nsid w:val="3494B2FB"/>
    <w:multiLevelType w:val="hybridMultilevel"/>
    <w:lvl w:ilvl="0">
      <w:lvlJc w:val="left"/>
      <w:lvlText w:val="(%1)"/>
      <w:numFmt w:val="lowerLetter"/>
      <w:start w:val="5"/>
    </w:lvl>
  </w:abstractNum>
  <w:abstractNum w:abstractNumId="166">
    <w:nsid w:val="B13A31"/>
    <w:multiLevelType w:val="hybridMultilevel"/>
    <w:lvl w:ilvl="0">
      <w:lvlJc w:val="left"/>
      <w:lvlText w:val="[%1]"/>
      <w:numFmt w:val="decimal"/>
      <w:start w:val="1"/>
    </w:lvl>
  </w:abstractNum>
  <w:abstractNum w:abstractNumId="167">
    <w:nsid w:val="64429599"/>
    <w:multiLevelType w:val="hybridMultilevel"/>
    <w:lvl w:ilvl="0">
      <w:lvlJc w:val="left"/>
      <w:lvlText w:val="(%1)"/>
      <w:numFmt w:val="decimal"/>
      <w:start w:val="1"/>
    </w:lvl>
  </w:abstractNum>
  <w:abstractNum w:abstractNumId="168">
    <w:nsid w:val="631F1690"/>
    <w:multiLevelType w:val="hybridMultilevel"/>
    <w:lvl w:ilvl="0">
      <w:lvlJc w:val="left"/>
      <w:lvlText w:val="(%1)"/>
      <w:numFmt w:val="decimal"/>
      <w:start w:val="2"/>
    </w:lvl>
  </w:abstractNum>
  <w:abstractNum w:abstractNumId="169">
    <w:nsid w:val="25973E3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70">
    <w:nsid w:val="EAD6F57"/>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171">
    <w:nsid w:val="6EC9D844"/>
    <w:multiLevelType w:val="hybridMultilevel"/>
    <w:lvl w:ilvl="0">
      <w:lvlJc w:val="left"/>
      <w:lvlText w:val="(%1)"/>
      <w:numFmt w:val="decimal"/>
      <w:start w:val="6"/>
    </w:lvl>
    <w:lvl w:ilvl="1">
      <w:lvlJc w:val="left"/>
      <w:lvlText w:val="(%2)"/>
      <w:numFmt w:val="lowerLetter"/>
      <w:start w:val="1"/>
    </w:lvl>
  </w:abstractNum>
  <w:abstractNum w:abstractNumId="172">
    <w:nsid w:val="5C49EAEE"/>
    <w:multiLevelType w:val="hybridMultilevel"/>
    <w:lvl w:ilvl="0">
      <w:lvlJc w:val="left"/>
      <w:lvlText w:val="%1"/>
      <w:numFmt w:val="decimal"/>
      <w:start w:val="1"/>
    </w:lvl>
    <w:lvl w:ilvl="1">
      <w:lvlJc w:val="left"/>
      <w:lvlText w:val="(%2)"/>
      <w:numFmt w:val="lowerLetter"/>
      <w:start w:val="2"/>
    </w:lvl>
  </w:abstractNum>
  <w:abstractNum w:abstractNumId="173">
    <w:nsid w:val="64AF49B"/>
    <w:multiLevelType w:val="hybridMultilevel"/>
    <w:lvl w:ilvl="0">
      <w:lvlJc w:val="left"/>
      <w:lvlText w:val="(%1)"/>
      <w:numFmt w:val="decimal"/>
      <w:start w:val="8"/>
    </w:lvl>
    <w:lvl w:ilvl="1">
      <w:lvlJc w:val="left"/>
      <w:lvlText w:val="%2"/>
      <w:numFmt w:val="lowerLetter"/>
      <w:start w:val="1"/>
    </w:lvl>
  </w:abstractNum>
  <w:abstractNum w:abstractNumId="174">
    <w:nsid w:val="397C46BC"/>
    <w:multiLevelType w:val="hybridMultilevel"/>
    <w:lvl w:ilvl="0">
      <w:lvlJc w:val="left"/>
      <w:lvlText w:val="(%1)"/>
      <w:numFmt w:val="decimal"/>
      <w:start w:val="13"/>
    </w:lvl>
  </w:abstractNum>
  <w:abstractNum w:abstractNumId="175">
    <w:nsid w:val="7E448DE9"/>
    <w:multiLevelType w:val="hybridMultilevel"/>
    <w:lvl w:ilvl="0">
      <w:lvlJc w:val="left"/>
      <w:lvlText w:val="(%1)"/>
      <w:numFmt w:val="upperLetter"/>
      <w:start w:val="9"/>
    </w:lvl>
  </w:abstractNum>
  <w:abstractNum w:abstractNumId="176">
    <w:nsid w:val="5A9CC3E5"/>
    <w:multiLevelType w:val="hybridMultilevel"/>
    <w:lvl w:ilvl="0">
      <w:lvlJc w:val="left"/>
      <w:lvlText w:val="*"/>
      <w:numFmt w:val="bullet"/>
      <w:start w:val="1"/>
    </w:lvl>
  </w:abstractNum>
  <w:abstractNum w:abstractNumId="177">
    <w:nsid w:val="1AFE3625"/>
    <w:multiLevelType w:val="hybridMultilevel"/>
    <w:lvl w:ilvl="0">
      <w:lvlJc w:val="left"/>
      <w:lvlText w:val="☐"/>
      <w:numFmt w:val="bullet"/>
      <w:start w:val="1"/>
    </w:lvl>
  </w:abstractNum>
  <w:abstractNum w:abstractNumId="178">
    <w:nsid w:val="3CA88ECF"/>
    <w:multiLevelType w:val="hybridMultilevel"/>
    <w:lvl w:ilvl="0">
      <w:lvlJc w:val="left"/>
      <w:lvlText w:val="*"/>
      <w:numFmt w:val="bullet"/>
      <w:start w:val="1"/>
    </w:lvl>
  </w:abstractNum>
  <w:abstractNum w:abstractNumId="179">
    <w:nsid w:val="6EBE4208"/>
    <w:multiLevelType w:val="hybridMultilevel"/>
    <w:lvl w:ilvl="0">
      <w:lvlJc w:val="left"/>
      <w:lvlText w:val="*"/>
      <w:numFmt w:val="bullet"/>
      <w:start w:val="1"/>
    </w:lvl>
  </w:abstractNum>
  <w:abstractNum w:abstractNumId="180">
    <w:nsid w:val="C058DF5"/>
    <w:multiLevelType w:val="hybridMultilevel"/>
    <w:lvl w:ilvl="0">
      <w:lvlJc w:val="left"/>
      <w:lvlText w:val="%1."/>
      <w:numFmt w:val="decimal"/>
      <w:start w:val="1"/>
    </w:lvl>
  </w:abstractNum>
  <w:abstractNum w:abstractNumId="181">
    <w:nsid w:val="CBE5BE9"/>
    <w:multiLevelType w:val="hybridMultilevel"/>
    <w:lvl w:ilvl="0">
      <w:lvlJc w:val="left"/>
      <w:lvlText w:val="%1."/>
      <w:numFmt w:val="decimal"/>
      <w:start w:val="3"/>
    </w:lvl>
    <w:lvl w:ilvl="1">
      <w:lvlJc w:val="left"/>
      <w:lvlText w:val="(%2)"/>
      <w:numFmt w:val="lowerLetter"/>
      <w:start w:val="1"/>
    </w:lvl>
  </w:abstractNum>
  <w:abstractNum w:abstractNumId="182">
    <w:nsid w:val="3102BBE2"/>
    <w:multiLevelType w:val="hybridMultilevel"/>
    <w:lvl w:ilvl="0">
      <w:lvlJc w:val="left"/>
      <w:lvlText w:val="(%1)"/>
      <w:numFmt w:val="lowerLetter"/>
      <w:start w:val="2"/>
    </w:lvl>
  </w:abstractNum>
  <w:abstractNum w:abstractNumId="183">
    <w:nsid w:val="26A02C5E"/>
    <w:multiLevelType w:val="hybridMultilevel"/>
    <w:lvl w:ilvl="0">
      <w:lvlJc w:val="left"/>
      <w:lvlText w:val="(%1)"/>
      <w:numFmt w:val="lowerLetter"/>
      <w:start w:val="4"/>
    </w:lvl>
  </w:abstractNum>
  <w:abstractNum w:abstractNumId="184">
    <w:nsid w:val="541C8153"/>
    <w:multiLevelType w:val="hybridMultilevel"/>
    <w:lvl w:ilvl="0">
      <w:lvlJc w:val="left"/>
      <w:lvlText w:val="(%1)"/>
      <w:numFmt w:val="lowerLetter"/>
      <w:start w:val="1"/>
    </w:lvl>
  </w:abstractNum>
  <w:abstractNum w:abstractNumId="185">
    <w:nsid w:val="67906F60"/>
    <w:multiLevelType w:val="hybridMultilevel"/>
    <w:lvl w:ilvl="0">
      <w:lvlJc w:val="left"/>
      <w:lvlText w:val="(%1)"/>
      <w:numFmt w:val="lowerLetter"/>
      <w:start w:val="3"/>
    </w:lvl>
  </w:abstractNum>
  <w:abstractNum w:abstractNumId="186">
    <w:nsid w:val="10DB9DAA"/>
    <w:multiLevelType w:val="hybridMultilevel"/>
    <w:lvl w:ilvl="0">
      <w:lvlJc w:val="left"/>
      <w:lvlText w:val="*"/>
      <w:numFmt w:val="bullet"/>
      <w:start w:val="1"/>
    </w:lvl>
  </w:abstractNum>
  <w:abstractNum w:abstractNumId="187">
    <w:nsid w:val="697D2D2"/>
    <w:multiLevelType w:val="hybridMultilevel"/>
    <w:lvl w:ilvl="0">
      <w:lvlJc w:val="left"/>
      <w:lvlText w:val="%1."/>
      <w:numFmt w:val="decimal"/>
      <w:start w:val="1"/>
    </w:lvl>
  </w:abstractNum>
  <w:abstractNum w:abstractNumId="188">
    <w:nsid w:val="6D68A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9">
    <w:nsid w:val="3A966CD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0">
    <w:nsid w:val="63F37E85"/>
    <w:multiLevelType w:val="hybridMultilevel"/>
    <w:lvl w:ilvl="0">
      <w:lvlJc w:val="left"/>
      <w:lvlText w:val="(%1)"/>
      <w:numFmt w:val="lowerLetter"/>
      <w:start w:val="1"/>
    </w:lvl>
    <w:lvl w:ilvl="1">
      <w:lvlJc w:val="left"/>
      <w:lvlText w:val="(%2)"/>
      <w:numFmt w:val="lowerRoman"/>
      <w:start w:val="1"/>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lowerLetter"/>
      <w:start w:val="1"/>
    </w:lvl>
    <w:lvl w:ilvl="1">
      <w:lvlJc w:val="left"/>
      <w:lvlText w:val="(%2)"/>
      <w:numFmt w:val="lowerLetter"/>
      <w:start w:val="1"/>
    </w:lvl>
  </w:abstractNum>
  <w:abstractNum w:abstractNumId="193">
    <w:nsid w:val="F3F09D8"/>
    <w:multiLevelType w:val="hybridMultilevel"/>
    <w:lvl w:ilvl="0">
      <w:lvlJc w:val="left"/>
      <w:lvlText w:val="(%1)"/>
      <w:numFmt w:val="lowerLetter"/>
      <w:start w:val="9"/>
    </w:lvl>
    <w:lvl w:ilvl="1">
      <w:lvlJc w:val="left"/>
      <w:lvlText w:val="%2"/>
      <w:numFmt w:val="lowerLetter"/>
      <w:start w:val="1"/>
    </w:lvl>
  </w:abstractNum>
  <w:abstractNum w:abstractNumId="194">
    <w:nsid w:val="4B793735"/>
    <w:multiLevelType w:val="hybridMultilevel"/>
    <w:lvl w:ilvl="0">
      <w:lvlJc w:val="left"/>
      <w:lvlText w:val="(%1)"/>
      <w:numFmt w:val="lowerLetter"/>
      <w:start w:val="61"/>
    </w:lvl>
    <w:lvl w:ilvl="1">
      <w:lvlJc w:val="left"/>
      <w:lvlText w:val="%2"/>
      <w:numFmt w:val="lowerLetter"/>
      <w:start w:val="1"/>
    </w:lvl>
  </w:abstractNum>
  <w:abstractNum w:abstractNumId="195">
    <w:nsid w:val="4A10B4E8"/>
    <w:multiLevelType w:val="hybridMultilevel"/>
    <w:lvl w:ilvl="0">
      <w:lvlJc w:val="left"/>
      <w:lvlText w:val="%1"/>
      <w:numFmt w:val="lowerLetter"/>
      <w:start w:val="1"/>
    </w:lvl>
    <w:lvl w:ilvl="1">
      <w:lvlJc w:val="left"/>
      <w:lvlText w:val="(%2)"/>
      <w:numFmt w:val="lowerLetter"/>
      <w:start w:val="3"/>
    </w:lvl>
  </w:abstractNum>
  <w:abstractNum w:abstractNumId="196">
    <w:nsid w:val="43D3BCD4"/>
    <w:multiLevelType w:val="hybridMultilevel"/>
    <w:lvl w:ilvl="0">
      <w:lvlJc w:val="left"/>
      <w:lvlText w:val="(%1)"/>
      <w:numFmt w:val="lowerLetter"/>
      <w:start w:val="9"/>
    </w:lvl>
    <w:lvl w:ilvl="1">
      <w:lvlJc w:val="left"/>
      <w:lvlText w:val="(%2)"/>
      <w:numFmt w:val="lowerLetter"/>
      <w:start w:val="4"/>
    </w:lvl>
  </w:abstractNum>
  <w:abstractNum w:abstractNumId="197">
    <w:nsid w:val="4C2A7166"/>
    <w:multiLevelType w:val="hybridMultilevel"/>
    <w:lvl w:ilvl="0">
      <w:lvlJc w:val="left"/>
      <w:lvlText w:val="%1."/>
      <w:numFmt w:val="decimal"/>
      <w:start w:val="2"/>
    </w:lvl>
  </w:abstractNum>
  <w:abstractNum w:abstractNumId="198">
    <w:nsid w:val="2E534A82"/>
    <w:multiLevelType w:val="hybridMultilevel"/>
    <w:lvl w:ilvl="0">
      <w:lvlJc w:val="left"/>
      <w:lvlText w:val="(%1)"/>
      <w:numFmt w:val="lowerLetter"/>
      <w:start w:val="1"/>
    </w:lvl>
  </w:abstractNum>
  <w:abstractNum w:abstractNumId="199">
    <w:nsid w:val="26F2D364"/>
    <w:multiLevelType w:val="hybridMultilevel"/>
    <w:lvl w:ilvl="0">
      <w:lvlJc w:val="left"/>
      <w:lvlText w:val="(%1)"/>
      <w:numFmt w:val="lowerLetter"/>
      <w:start w:val="1"/>
    </w:lvl>
  </w:abstractNum>
  <w:abstractNum w:abstractNumId="200">
    <w:nsid w:val="71C1AF98"/>
    <w:multiLevelType w:val="hybridMultilevel"/>
    <w:lvl w:ilvl="0">
      <w:lvlJc w:val="left"/>
      <w:lvlText w:val="%1."/>
      <w:numFmt w:val="decimal"/>
      <w:start w:val="1"/>
    </w:lvl>
  </w:abstractNum>
  <w:abstractNum w:abstractNumId="201">
    <w:nsid w:val="3D00B9D9"/>
    <w:multiLevelType w:val="hybridMultilevel"/>
    <w:lvl w:ilvl="0">
      <w:lvlJc w:val="left"/>
      <w:lvlText w:val="%1."/>
      <w:numFmt w:val="decimal"/>
      <w:start w:val="4"/>
    </w:lvl>
  </w:abstractNum>
  <w:abstractNum w:abstractNumId="202">
    <w:nsid w:val="15BCABA8"/>
    <w:multiLevelType w:val="hybridMultilevel"/>
    <w:lvl w:ilvl="0">
      <w:lvlJc w:val="left"/>
      <w:lvlText w:val="%1."/>
      <w:numFmt w:val="decimal"/>
      <w:start w:val="1"/>
    </w:lvl>
  </w:abstractNum>
  <w:abstractNum w:abstractNumId="203">
    <w:nsid w:val="4E0B9A87"/>
    <w:multiLevelType w:val="hybridMultilevel"/>
    <w:lvl w:ilvl="0">
      <w:lvlJc w:val="left"/>
      <w:lvlText w:val="%1."/>
      <w:numFmt w:val="decimal"/>
      <w:start w:val="6"/>
    </w:lvl>
  </w:abstractNum>
  <w:abstractNum w:abstractNumId="204">
    <w:nsid w:val="434BAE75"/>
    <w:multiLevelType w:val="hybridMultilevel"/>
    <w:lvl w:ilvl="0">
      <w:lvlJc w:val="left"/>
      <w:lvlText w:val="%1."/>
      <w:numFmt w:val="decimal"/>
      <w:start w:val="1"/>
    </w:lvl>
  </w:abstractNum>
  <w:abstractNum w:abstractNumId="205">
    <w:nsid w:val="4F38F265"/>
    <w:multiLevelType w:val="hybridMultilevel"/>
    <w:lvl w:ilvl="0">
      <w:lvlJc w:val="left"/>
      <w:lvlText w:val="%1."/>
      <w:numFmt w:val="decimal"/>
      <w:start w:val="5"/>
    </w:lvl>
  </w:abstractNum>
  <w:abstractNum w:abstractNumId="206">
    <w:nsid w:val="4C50287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2021-01-21T15:39:33Z</dcterms:created>
  <dcterms:modified xsi:type="dcterms:W3CDTF">2021-01-21T15:39:33Z</dcterms:modified>
</cp:coreProperties>
</file>