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March 27,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March 27, 2020, California Resources Corporation (“CRC”) issued a press release regarding media speculation. A copy of the press release is filed herewith as Exhibit 99.1.</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Statements contained in Item 7.01 of this report and Exhibit 99.1 hereto that state CRC’s or its management’s expectations or predictions of the future are forward-looking statements intended to be covered by the safe harbor provisions of the Securities Act and the Exchange Act. It is important to note that the actual results of CRC could differ materially from those projected in such forward-looking statements. Factors that could affect the results include those mentioned in the documents that the Company has filed with the Securities and Exchange Commission (the “SEC”).</w:t>
      </w:r>
    </w:p>
    <w:p>
      <w:pPr>
        <w:spacing w:after="0" w:line="157"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CRC undertakes no duty or obligation to publicly update or revise the information contained in Item 7.01 of this report and Exhibit 99.1 hereto, although CRC may do so from time to time in management’s discretion. Any such updating may be made through the filing of other reports or documents with the SEC, through press releases or through other public disclosure including disclosure in the Investor Relations portion of CRC’s website.</w:t>
      </w:r>
    </w:p>
    <w:p>
      <w:pPr>
        <w:spacing w:after="0" w:line="3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400" w:type="dxa"/>
            <w:vAlign w:val="bottom"/>
          </w:tcPr>
          <w:p>
            <w:pPr>
              <w:ind w:left="14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right"/>
              <w:ind w:right="710"/>
              <w:spacing w:after="0" w:line="19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27, 2020.</w:t>
              </w:r>
            </w:hyperlink>
          </w:p>
        </w:tc>
        <w:tc>
          <w:tcPr>
            <w:tcW w:w="6400" w:type="dxa"/>
            <w:vAlign w:val="bottom"/>
          </w:tcPr>
          <w:p>
            <w:pPr>
              <w:spacing w:after="0"/>
              <w:rPr>
                <w:sz w:val="17"/>
                <w:szCs w:val="17"/>
                <w:color w:val="auto"/>
              </w:rPr>
            </w:pPr>
          </w:p>
        </w:tc>
      </w:tr>
      <w:tr>
        <w:trPr>
          <w:trHeight w:val="588"/>
        </w:trPr>
        <w:tc>
          <w:tcPr>
            <w:tcW w:w="1920" w:type="dxa"/>
            <w:vAlign w:val="bottom"/>
          </w:tcPr>
          <w:p>
            <w:pPr>
              <w:jc w:val="right"/>
              <w:ind w:right="7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March 27, 2020</w:t>
      </w:r>
    </w:p>
    <w:p>
      <w:pPr>
        <w:sectPr>
          <w:pgSz w:w="11900" w:h="16838" w:orient="portrait"/>
          <w:cols w:equalWidth="0" w:num="1">
            <w:col w:w="10920"/>
          </w:cols>
          <w:pgMar w:left="320" w:top="553" w:right="6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154305</wp:posOffset>
            </wp:positionV>
            <wp:extent cx="147447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340" w:val="left"/>
        </w:tabs>
        <w:rPr>
          <w:sz w:val="20"/>
          <w:szCs w:val="20"/>
          <w:color w:val="auto"/>
        </w:rPr>
      </w:pPr>
      <w:r>
        <w:rPr>
          <w:rFonts w:ascii="Arial" w:cs="Arial" w:eastAsia="Arial" w:hAnsi="Arial"/>
          <w:sz w:val="25"/>
          <w:szCs w:val="25"/>
          <w:b w:val="1"/>
          <w:bCs w:val="1"/>
          <w:color w:val="auto"/>
        </w:rPr>
        <w:t>NEWS RELEASE</w:t>
      </w:r>
      <w:r>
        <w:rPr>
          <w:sz w:val="20"/>
          <w:szCs w:val="20"/>
          <w:color w:val="auto"/>
        </w:rPr>
        <w:tab/>
      </w:r>
      <w:r>
        <w:rPr>
          <w:rFonts w:ascii="Arial" w:cs="Arial" w:eastAsia="Arial" w:hAnsi="Arial"/>
          <w:sz w:val="17"/>
          <w:szCs w:val="17"/>
          <w:b w:val="1"/>
          <w:bCs w:val="1"/>
          <w:color w:val="auto"/>
        </w:rPr>
        <w:t>For Immediate Release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Provides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Comment on Market Speculation</w:t>
      </w:r>
    </w:p>
    <w:p>
      <w:pPr>
        <w:spacing w:after="0" w:line="200" w:lineRule="exact"/>
        <w:rPr>
          <w:sz w:val="20"/>
          <w:szCs w:val="20"/>
          <w:color w:val="auto"/>
        </w:rPr>
      </w:pPr>
    </w:p>
    <w:p>
      <w:pPr>
        <w:spacing w:after="0" w:line="2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22"/>
          <w:szCs w:val="22"/>
          <w:color w:val="auto"/>
        </w:rPr>
        <w:t>Santa Clarita, California, March 27, 2020 - California Resources Corporation (NYSE: CRC), an independent California-based oil and gas exploration and production company, today issued the following statement on media speculation:</w:t>
      </w:r>
    </w:p>
    <w:p>
      <w:pPr>
        <w:spacing w:after="0" w:line="233" w:lineRule="exact"/>
        <w:rPr>
          <w:sz w:val="20"/>
          <w:szCs w:val="20"/>
          <w:color w:val="auto"/>
        </w:rPr>
      </w:pPr>
    </w:p>
    <w:p>
      <w:pPr>
        <w:ind w:right="20"/>
        <w:spacing w:after="0" w:line="270" w:lineRule="auto"/>
        <w:rPr>
          <w:sz w:val="20"/>
          <w:szCs w:val="20"/>
          <w:color w:val="auto"/>
        </w:rPr>
      </w:pPr>
      <w:r>
        <w:rPr>
          <w:rFonts w:ascii="Arial" w:cs="Arial" w:eastAsia="Arial" w:hAnsi="Arial"/>
          <w:sz w:val="22"/>
          <w:szCs w:val="22"/>
          <w:color w:val="auto"/>
        </w:rPr>
        <w:t>“Over the past five years, we have consistently pursued options to preserve and enhance the value of CRC and we are fighting hard for the best outcome for our shareholders and other stakeholders. We have significant operating flexibility and are focusing on controlling what we can control, including reducing our capital program and operating costs. We will continue to consider all options with our advisors as we work through this unprecedented downturn and do not intend to provide updates on on-going discussions.”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22"/>
          <w:szCs w:val="22"/>
          <w:color w:val="auto"/>
        </w:rPr>
        <w:t>This press release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0" w:lineRule="exact"/>
        <w:rPr>
          <w:rFonts w:ascii="Arial" w:cs="Arial" w:eastAsia="Arial" w:hAnsi="Arial"/>
          <w:sz w:val="22"/>
          <w:szCs w:val="22"/>
          <w:color w:val="auto"/>
        </w:rPr>
      </w:pPr>
    </w:p>
    <w:p>
      <w:pPr>
        <w:ind w:left="660" w:right="380" w:hanging="328"/>
        <w:spacing w:after="0" w:line="268"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553"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reserves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31" w:lineRule="exact"/>
        <w:rPr>
          <w:sz w:val="20"/>
          <w:szCs w:val="20"/>
          <w:color w:val="auto"/>
        </w:rPr>
      </w:pPr>
    </w:p>
    <w:p>
      <w:pPr>
        <w:ind w:right="20"/>
        <w:spacing w:after="0" w:line="268"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assumptions or bases underlying its expectations are reasonable and make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spacing w:after="0" w:line="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or changes to CRC's capital plan</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acquisitions, asset sales and joint ventures</w:t>
      </w:r>
    </w:p>
    <w:p>
      <w:pPr>
        <w:spacing w:after="0" w:line="30" w:lineRule="exact"/>
        <w:rPr>
          <w:rFonts w:ascii="Arial" w:cs="Arial" w:eastAsia="Arial" w:hAnsi="Arial"/>
          <w:sz w:val="22"/>
          <w:szCs w:val="22"/>
          <w:color w:val="auto"/>
        </w:rPr>
      </w:pPr>
    </w:p>
    <w:p>
      <w:pPr>
        <w:ind w:left="660" w:right="200" w:hanging="328"/>
        <w:spacing w:after="0" w:line="26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0" w:lineRule="exact"/>
        <w:rPr>
          <w:rFonts w:ascii="Arial" w:cs="Arial" w:eastAsia="Arial" w:hAnsi="Arial"/>
          <w:sz w:val="22"/>
          <w:szCs w:val="22"/>
          <w:color w:val="auto"/>
        </w:rPr>
      </w:pPr>
    </w:p>
    <w:p>
      <w:pPr>
        <w:ind w:left="660" w:right="440" w:hanging="328"/>
        <w:spacing w:after="0" w:line="26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0" w:lineRule="exact"/>
        <w:rPr>
          <w:rFonts w:ascii="Arial" w:cs="Arial" w:eastAsia="Arial" w:hAnsi="Arial"/>
          <w:sz w:val="22"/>
          <w:szCs w:val="22"/>
          <w:color w:val="auto"/>
        </w:rPr>
      </w:pPr>
    </w:p>
    <w:p>
      <w:pPr>
        <w:ind w:left="660" w:right="1060" w:hanging="328"/>
        <w:spacing w:after="0" w:line="26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spacing w:after="0" w:line="2" w:lineRule="exact"/>
        <w:rPr>
          <w:rFonts w:ascii="Arial" w:cs="Arial" w:eastAsia="Arial" w:hAnsi="Arial"/>
          <w:sz w:val="22"/>
          <w:szCs w:val="22"/>
          <w:color w:val="auto"/>
        </w:rPr>
      </w:pPr>
    </w:p>
    <w:p>
      <w:pPr>
        <w:ind w:left="660" w:right="40" w:hanging="328"/>
        <w:spacing w:after="0" w:line="26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spacing w:after="0" w:line="2" w:lineRule="exact"/>
        <w:rPr>
          <w:rFonts w:ascii="Arial" w:cs="Arial" w:eastAsia="Arial" w:hAnsi="Arial"/>
          <w:sz w:val="22"/>
          <w:szCs w:val="22"/>
          <w:color w:val="auto"/>
        </w:rPr>
      </w:pPr>
    </w:p>
    <w:p>
      <w:pPr>
        <w:ind w:firstLine="332"/>
        <w:spacing w:after="0" w:line="270" w:lineRule="auto"/>
        <w:tabs>
          <w:tab w:leader="none" w:pos="648" w:val="left"/>
        </w:tabs>
        <w:numPr>
          <w:ilvl w:val="0"/>
          <w:numId w:val="4"/>
        </w:numPr>
        <w:rPr>
          <w:rFonts w:ascii="Arial" w:cs="Arial" w:eastAsia="Arial" w:hAnsi="Arial"/>
          <w:sz w:val="22"/>
          <w:szCs w:val="22"/>
          <w:color w:val="auto"/>
        </w:rPr>
      </w:pPr>
      <w:r>
        <w:rPr>
          <w:rFonts w:ascii="Arial" w:cs="Arial" w:eastAsia="Arial" w:hAnsi="Arial"/>
          <w:sz w:val="22"/>
          <w:szCs w:val="22"/>
          <w:color w:val="auto"/>
        </w:rPr>
        <w:t>factors discussed in “Risk Factors” in CRC's Annual Report on Form 10-K available on its website at crc.com. 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20"/>
          </w:cols>
          <w:pgMar w:left="320" w:top="592" w:right="35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22"/>
          <w:szCs w:val="22"/>
          <w:color w:val="auto"/>
        </w:rPr>
        <w:t>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276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797"/>
        </w:trPr>
        <w:tc>
          <w:tcPr>
            <w:tcW w:w="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22"/>
                <w:szCs w:val="22"/>
                <w:color w:val="auto"/>
              </w:rPr>
              <w:t>Scott Espenshade (Investor Relations)</w:t>
            </w:r>
          </w:p>
        </w:tc>
        <w:tc>
          <w:tcPr>
            <w:tcW w:w="2760" w:type="dxa"/>
            <w:vAlign w:val="bottom"/>
          </w:tcPr>
          <w:p>
            <w:pPr>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290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0" w:type="dxa"/>
            <w:vAlign w:val="bottom"/>
          </w:tcPr>
          <w:p>
            <w:pPr>
              <w:spacing w:after="0"/>
              <w:rPr>
                <w:sz w:val="18"/>
                <w:szCs w:val="18"/>
                <w:color w:val="auto"/>
              </w:rPr>
            </w:pPr>
          </w:p>
        </w:tc>
        <w:tc>
          <w:tcPr>
            <w:tcW w:w="5620" w:type="dxa"/>
            <w:vAlign w:val="bottom"/>
            <w:gridSpan w:val="3"/>
          </w:tcPr>
          <w:p>
            <w:pPr>
              <w:spacing w:after="0" w:line="209" w:lineRule="exact"/>
              <w:rPr>
                <w:sz w:val="20"/>
                <w:szCs w:val="20"/>
                <w:color w:val="auto"/>
              </w:rPr>
            </w:pPr>
            <w:r>
              <w:rPr>
                <w:rFonts w:ascii="Arial" w:cs="Arial" w:eastAsia="Arial" w:hAnsi="Arial"/>
                <w:sz w:val="22"/>
                <w:szCs w:val="22"/>
                <w:color w:val="421BFF"/>
              </w:rPr>
              <w:t>Scott.Espenshade@crc.com</w:t>
            </w:r>
          </w:p>
        </w:tc>
        <w:tc>
          <w:tcPr>
            <w:tcW w:w="2760" w:type="dxa"/>
            <w:vAlign w:val="bottom"/>
          </w:tcPr>
          <w:p>
            <w:pPr>
              <w:spacing w:after="0" w:line="209" w:lineRule="exact"/>
              <w:rPr>
                <w:sz w:val="20"/>
                <w:szCs w:val="20"/>
                <w:color w:val="auto"/>
              </w:rPr>
            </w:pPr>
            <w:r>
              <w:rPr>
                <w:rFonts w:ascii="Arial" w:cs="Arial" w:eastAsia="Arial" w:hAnsi="Arial"/>
                <w:sz w:val="22"/>
                <w:szCs w:val="22"/>
                <w:color w:val="421BFF"/>
                <w:w w:val="96"/>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7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sectPr>
      <w:pgSz w:w="11900" w:h="16838" w:orient="portrait"/>
      <w:cols w:equalWidth="0" w:num="1">
        <w:col w:w="11200"/>
      </w:cols>
      <w:pgMar w:left="320" w:top="5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2020-03-27T16:15:39Z</dcterms:created>
  <dcterms:modified xsi:type="dcterms:W3CDTF">2020-03-27T16:15:39Z</dcterms:modified>
</cp:coreProperties>
</file>