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5, 2025 </w:t>
      </w:r>
    </w:p>
    <w:p>
      <w:pPr>
        <w:pStyle w:val="TextBody"/>
        <w:bidi w:val="0"/>
        <w:spacing w:lineRule="auto" w:line="288" w:before="18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California Resources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601" w:type="dxa"/>
        <w:jc w:val="center"/>
        <w:tblInd w:w="0" w:type="dxa"/>
        <w:tblLayout w:type="fixed"/>
        <w:tblCellMar>
          <w:top w:w="28" w:type="dxa"/>
          <w:left w:w="28" w:type="dxa"/>
          <w:bottom w:w="28" w:type="dxa"/>
          <w:right w:w="28" w:type="dxa"/>
        </w:tblCellMar>
      </w:tblPr>
      <w:tblGrid>
        <w:gridCol w:w="986"/>
        <w:gridCol w:w="866"/>
        <w:gridCol w:w="875"/>
        <w:gridCol w:w="210"/>
        <w:gridCol w:w="210"/>
        <w:gridCol w:w="210"/>
        <w:gridCol w:w="197"/>
        <w:gridCol w:w="197"/>
        <w:gridCol w:w="201"/>
        <w:gridCol w:w="481"/>
        <w:gridCol w:w="481"/>
        <w:gridCol w:w="687"/>
      </w:tblGrid>
      <w:tr>
        <w:trPr/>
        <w:tc>
          <w:tcPr>
            <w:tcW w:w="9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001-36478</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46-5670947</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World Trade Center</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1500</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 Beach</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90831</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(888) 848-4754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On August 5, 2025, California Resources Corporation (the “Company”) issued a press release announcing its financial condition and results of operations for the three and six months ended June 30, 2025. A copy of the press release is furnished as Exhibit 99.1 to this report on Form 8-K, and is incorporated herein by reference.</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pStyle w:val="TextBody"/>
        <w:bidi w:val="0"/>
        <w:spacing w:lineRule="auto" w:line="276" w:before="480" w:after="200"/>
        <w:ind w:left="0" w:right="0" w:hanging="14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q2erex991.htm">
              <w:r>
                <w:rPr>
                  <w:rStyle w:val="InternetLink"/>
                  <w:rFonts w:ascii="Times New Roman;serif" w:hAnsi="Times New Roman;serif"/>
                  <w:b w:val="false"/>
                  <w:color w:val="0000FF"/>
                  <w:sz w:val="20"/>
                  <w:u w:val="single"/>
                </w:rPr>
                <w:t>Press Release dated August 5, 2025.</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400" w:after="283"/>
        <w:ind w:left="0" w:right="0" w:hanging="14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4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99" w:type="dxa"/>
        <w:jc w:val="center"/>
        <w:tblInd w:w="0" w:type="dxa"/>
        <w:tblLayout w:type="fixed"/>
        <w:tblCellMar>
          <w:top w:w="28" w:type="dxa"/>
          <w:left w:w="28" w:type="dxa"/>
          <w:bottom w:w="28" w:type="dxa"/>
          <w:right w:w="28" w:type="dxa"/>
        </w:tblCellMar>
      </w:tblPr>
      <w:tblGrid>
        <w:gridCol w:w="124"/>
        <w:gridCol w:w="109"/>
        <w:gridCol w:w="109"/>
        <w:gridCol w:w="323"/>
        <w:gridCol w:w="323"/>
        <w:gridCol w:w="323"/>
        <w:gridCol w:w="901"/>
        <w:gridCol w:w="901"/>
        <w:gridCol w:w="901"/>
        <w:gridCol w:w="901"/>
        <w:gridCol w:w="901"/>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Preston</w:t>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7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Preston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788"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Strategy Officer and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5,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1828800" cy="533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28800" cy="533400"/>
                    </a:xfrm>
                    <a:prstGeom prst="rect">
                      <a:avLst/>
                    </a:prstGeom>
                  </pic:spPr>
                </pic:pic>
              </a:graphicData>
            </a:graphic>
          </wp:inline>
        </w:drawing>
      </w:r>
      <w:r>
        <w:rPr>
          <w:color w:val="000000"/>
        </w:rPr>
        <w:t>                                </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California Resources Corporation Reports Second Quarter 2025 Financial and Operating Results</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i/>
          <w:color w:val="000000"/>
          <w:sz w:val="24"/>
        </w:rPr>
      </w:pPr>
      <w:r>
        <w:rPr>
          <w:rFonts w:ascii="Franklin Gothic Book;sans-serif" w:hAnsi="Franklin Gothic Book;sans-serif"/>
          <w:b w:val="false"/>
          <w:i/>
          <w:color w:val="000000"/>
          <w:sz w:val="24"/>
        </w:rPr>
        <w:t>Company Raises 2025E Production and Adjusted EBITDAX Guidance, Reduces Drilling, Completions and Workover Capital Program</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i/>
          <w:color w:val="000000"/>
          <w:sz w:val="24"/>
        </w:rPr>
      </w:pPr>
      <w:r>
        <w:rPr>
          <w:rFonts w:ascii="Franklin Gothic Book;sans-serif" w:hAnsi="Franklin Gothic Book;sans-serif"/>
          <w:b w:val="false"/>
          <w:i/>
          <w:color w:val="000000"/>
          <w:sz w:val="24"/>
        </w:rPr>
        <w:t>Returned Quarterly Record of $287 Million to Shareholders</w:t>
      </w:r>
    </w:p>
    <w:p>
      <w:pPr>
        <w:pStyle w:val="TextBody"/>
        <w:bidi w:val="0"/>
        <w:spacing w:before="0" w:after="0"/>
        <w:jc w:val="center"/>
        <w:rPr/>
      </w:pPr>
      <w:r>
        <w:rPr/>
      </w:r>
    </w:p>
    <w:p>
      <w:pPr>
        <w:pStyle w:val="TextBody"/>
        <w:bidi w:val="0"/>
        <w:spacing w:lineRule="auto" w:line="288" w:before="0" w:after="0"/>
        <w:jc w:val="both"/>
        <w:rPr/>
      </w:pPr>
      <w:r>
        <w:rPr>
          <w:rFonts w:ascii="Franklin Gothic Book;sans-serif" w:hAnsi="Franklin Gothic Book;sans-serif"/>
          <w:b/>
          <w:color w:val="000000"/>
          <w:sz w:val="24"/>
        </w:rPr>
        <w:t>LONG BEACH, California, August 5, 2025</w:t>
      </w:r>
      <w:r>
        <w:rPr>
          <w:color w:val="000000"/>
        </w:rPr>
        <w:t xml:space="preserve"> </w:t>
      </w:r>
      <w:r>
        <w:rPr>
          <w:rFonts w:ascii="Franklin Gothic Book;sans-serif" w:hAnsi="Franklin Gothic Book;sans-serif"/>
          <w:b w:val="false"/>
          <w:color w:val="000000"/>
          <w:sz w:val="24"/>
        </w:rPr>
        <w:t xml:space="preserve">- California Resources Corporation (NYSE: CRC) reported financial and operating results for the second quarter of 2025. The Company is hosting a conference call and webcast at 1 p.m. ET (10 a.m. PT) on Wednesday, August 6, 2025. Conference call details can be found within this release. </w:t>
      </w:r>
    </w:p>
    <w:p>
      <w:pPr>
        <w:pStyle w:val="TextBody"/>
        <w:bidi w:val="0"/>
        <w:spacing w:before="0" w:after="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Second Quarter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Delivered average net production of 137 thousand barrels of oil equivalent per day (MBoe/d) (80% oil), at the high end of guidance, with drilling, completions and workover capital of $34 million, and added a second rig in Kern County</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shd w:fill="FFFFFF" w:val="clear"/>
        </w:rPr>
        <w:t xml:space="preserve">Reported net income of </w:t>
      </w:r>
      <w:r>
        <w:rPr>
          <w:rFonts w:ascii="Franklin Gothic Book;sans-serif" w:hAnsi="Franklin Gothic Book;sans-serif"/>
          <w:b w:val="false"/>
          <w:color w:val="000000"/>
          <w:sz w:val="24"/>
        </w:rPr>
        <w:t>$172</w:t>
      </w:r>
      <w:r>
        <w:rPr>
          <w:color w:val="000000"/>
          <w:shd w:fill="FFFFFF" w:val="clear"/>
        </w:rPr>
        <w:t xml:space="preserve"> </w:t>
      </w:r>
      <w:r>
        <w:rPr>
          <w:rFonts w:ascii="Franklin Gothic Book;sans-serif" w:hAnsi="Franklin Gothic Book;sans-serif"/>
          <w:b w:val="false"/>
          <w:color w:val="000000"/>
          <w:sz w:val="24"/>
          <w:shd w:fill="FFFFFF" w:val="clear"/>
        </w:rPr>
        <w:t>million and net income per diluted share of $1.92; reported adjusted net income</w:t>
      </w:r>
      <w:r>
        <w:rPr>
          <w:rFonts w:ascii="Franklin Gothic Book;sans-serif" w:hAnsi="Franklin Gothic Book;sans-serif"/>
          <w:b w:val="false"/>
          <w:color w:val="000000"/>
          <w:sz w:val="16"/>
          <w:shd w:fill="FFFFFF" w:val="clear"/>
        </w:rPr>
        <w:t>1</w:t>
      </w:r>
      <w:r>
        <w:rPr>
          <w:color w:val="000000"/>
          <w:shd w:fill="FFFFFF" w:val="clear"/>
        </w:rPr>
        <w:t xml:space="preserve"> </w:t>
      </w:r>
      <w:r>
        <w:rPr>
          <w:rFonts w:ascii="Franklin Gothic Book;sans-serif" w:hAnsi="Franklin Gothic Book;sans-serif"/>
          <w:b w:val="false"/>
          <w:color w:val="000000"/>
          <w:sz w:val="24"/>
          <w:shd w:fill="FFFFFF" w:val="clear"/>
        </w:rPr>
        <w:t xml:space="preserve">of </w:t>
      </w:r>
      <w:r>
        <w:rPr>
          <w:rFonts w:ascii="Franklin Gothic Book;sans-serif" w:hAnsi="Franklin Gothic Book;sans-serif"/>
          <w:b w:val="false"/>
          <w:color w:val="000000"/>
          <w:sz w:val="24"/>
        </w:rPr>
        <w:t>$98</w:t>
      </w:r>
      <w:r>
        <w:rPr>
          <w:color w:val="000000"/>
          <w:shd w:fill="FFFFFF" w:val="clear"/>
        </w:rPr>
        <w:t xml:space="preserve"> </w:t>
      </w:r>
      <w:r>
        <w:rPr>
          <w:rFonts w:ascii="Franklin Gothic Book;sans-serif" w:hAnsi="Franklin Gothic Book;sans-serif"/>
          <w:b w:val="false"/>
          <w:color w:val="000000"/>
          <w:sz w:val="24"/>
          <w:shd w:fill="FFFFFF" w:val="clear"/>
        </w:rPr>
        <w:t>million and adjusted net income per diluted share of $1.10</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shd w:fill="FFFFFF" w:val="clear"/>
        </w:rPr>
        <w:t xml:space="preserve">Generated net cash provided by operating activities of </w:t>
      </w:r>
      <w:r>
        <w:rPr>
          <w:rFonts w:ascii="Franklin Gothic Book;sans-serif" w:hAnsi="Franklin Gothic Book;sans-serif"/>
          <w:b w:val="false"/>
          <w:color w:val="000000"/>
          <w:sz w:val="24"/>
        </w:rPr>
        <w:t>$165</w:t>
      </w:r>
      <w:r>
        <w:rPr>
          <w:color w:val="000000"/>
          <w:shd w:fill="FFFFFF" w:val="clear"/>
        </w:rPr>
        <w:t xml:space="preserve"> </w:t>
      </w:r>
      <w:r>
        <w:rPr>
          <w:rFonts w:ascii="Franklin Gothic Book;sans-serif" w:hAnsi="Franklin Gothic Book;sans-serif"/>
          <w:b w:val="false"/>
          <w:color w:val="000000"/>
          <w:sz w:val="24"/>
          <w:shd w:fill="FFFFFF" w:val="clear"/>
        </w:rPr>
        <w:t>million,</w:t>
      </w:r>
      <w:r>
        <w:rPr>
          <w:color w:val="000000"/>
        </w:rPr>
        <w:t xml:space="preserve"> </w:t>
      </w:r>
      <w:r>
        <w:rPr>
          <w:rFonts w:ascii="Franklin Gothic Book;sans-serif" w:hAnsi="Franklin Gothic Book;sans-serif"/>
          <w:b w:val="false"/>
          <w:color w:val="000000"/>
          <w:sz w:val="24"/>
        </w:rPr>
        <w:t>$109</w:t>
      </w:r>
      <w:r>
        <w:rPr>
          <w:color w:val="000000"/>
          <w:shd w:fill="FFFFFF" w:val="clear"/>
        </w:rPr>
        <w:t xml:space="preserve"> </w:t>
      </w:r>
      <w:r>
        <w:rPr>
          <w:rFonts w:ascii="Franklin Gothic Book;sans-serif" w:hAnsi="Franklin Gothic Book;sans-serif"/>
          <w:b w:val="false"/>
          <w:color w:val="000000"/>
          <w:sz w:val="24"/>
          <w:shd w:fill="FFFFFF" w:val="clear"/>
        </w:rPr>
        <w:t>million in free cash flow</w:t>
      </w:r>
      <w:r>
        <w:rPr>
          <w:rFonts w:ascii="Franklin Gothic Book;sans-serif" w:hAnsi="Franklin Gothic Book;sans-serif"/>
          <w:b w:val="false"/>
          <w:color w:val="000000"/>
          <w:sz w:val="16"/>
          <w:shd w:fill="FFFFFF" w:val="clear"/>
        </w:rPr>
        <w:t xml:space="preserve">1 </w:t>
      </w:r>
      <w:r>
        <w:rPr>
          <w:rFonts w:ascii="Franklin Gothic Book;sans-serif" w:hAnsi="Franklin Gothic Book;sans-serif"/>
          <w:b w:val="false"/>
          <w:color w:val="000000"/>
          <w:sz w:val="24"/>
          <w:shd w:fill="FFFFFF" w:val="clear"/>
        </w:rPr>
        <w:t>and</w:t>
      </w:r>
      <w:r>
        <w:rPr>
          <w:color w:val="000000"/>
          <w:shd w:fill="FFFFFF" w:val="clear"/>
        </w:rPr>
        <w:t xml:space="preserve"> </w:t>
      </w:r>
      <w:r>
        <w:rPr>
          <w:rFonts w:ascii="Franklin Gothic Book;sans-serif" w:hAnsi="Franklin Gothic Book;sans-serif"/>
          <w:b w:val="false"/>
          <w:color w:val="000000"/>
          <w:sz w:val="24"/>
        </w:rPr>
        <w:t>$324</w:t>
      </w:r>
      <w:r>
        <w:rPr>
          <w:color w:val="000000"/>
          <w:shd w:fill="FFFFFF" w:val="clear"/>
        </w:rPr>
        <w:t xml:space="preserve"> </w:t>
      </w:r>
      <w:r>
        <w:rPr>
          <w:rFonts w:ascii="Franklin Gothic Book;sans-serif" w:hAnsi="Franklin Gothic Book;sans-serif"/>
          <w:b w:val="false"/>
          <w:color w:val="000000"/>
          <w:sz w:val="24"/>
          <w:shd w:fill="FFFFFF" w:val="clear"/>
        </w:rPr>
        <w:t>million in adjusted EBITDAX</w:t>
      </w:r>
      <w:r>
        <w:rPr>
          <w:rFonts w:ascii="Franklin Gothic Book;sans-serif" w:hAnsi="Franklin Gothic Book;sans-serif"/>
          <w:b w:val="false"/>
          <w:color w:val="000000"/>
          <w:sz w:val="16"/>
          <w:shd w:fill="FFFFFF" w:val="clear"/>
        </w:rPr>
        <w:t>1</w:t>
      </w:r>
      <w:r>
        <w:rPr>
          <w:rFonts w:ascii="Franklin Gothic Book;sans-serif" w:hAnsi="Franklin Gothic Book;sans-serif"/>
          <w:b w:val="false"/>
          <w:color w:val="000000"/>
          <w:sz w:val="24"/>
          <w:shd w:fill="FFFFFF" w:val="clear"/>
        </w:rPr>
        <w:t>, exceeding quarterly guidance</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rPr>
        <w:t>Ended the second quarter of 2025 with $56 million in available cash</w:t>
      </w:r>
      <w:r>
        <w:rPr>
          <w:rFonts w:ascii="Franklin Gothic Book;sans-serif" w:hAnsi="Franklin Gothic Book;sans-serif"/>
          <w:b w:val="false"/>
          <w:color w:val="000000"/>
          <w:sz w:val="16"/>
        </w:rPr>
        <w:t>3</w:t>
      </w:r>
      <w:r>
        <w:rPr>
          <w:color w:val="000000"/>
        </w:rPr>
        <w:t xml:space="preserve"> </w:t>
      </w:r>
      <w:r>
        <w:rPr>
          <w:rFonts w:ascii="Franklin Gothic Book;sans-serif" w:hAnsi="Franklin Gothic Book;sans-serif"/>
          <w:b w:val="false"/>
          <w:color w:val="000000"/>
          <w:sz w:val="24"/>
        </w:rPr>
        <w:t>(excluding restricted cash), $983 million in available borrowing capacity and $1,039 million of liquidity</w:t>
      </w:r>
      <w:r>
        <w:rPr>
          <w:rFonts w:ascii="Franklin Gothic Book;sans-serif" w:hAnsi="Franklin Gothic Book;sans-serif"/>
          <w:b w:val="false"/>
          <w:color w:val="000000"/>
          <w:sz w:val="16"/>
        </w:rPr>
        <w:t>1</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Returned a record $287 million to shareholders</w:t>
      </w:r>
      <w:r>
        <w:rPr>
          <w:rFonts w:ascii="Franklin Gothic Book;sans-serif" w:hAnsi="Franklin Gothic Book;sans-serif"/>
          <w:b w:val="false"/>
          <w:color w:val="000000"/>
          <w:sz w:val="16"/>
          <w:shd w:fill="FFFFFF" w:val="clear"/>
        </w:rPr>
        <w:t>2</w:t>
      </w:r>
      <w:r>
        <w:rPr>
          <w:rFonts w:ascii="Franklin Gothic Book;sans-serif" w:hAnsi="Franklin Gothic Book;sans-serif"/>
          <w:b w:val="false"/>
          <w:color w:val="000000"/>
          <w:sz w:val="24"/>
          <w:shd w:fill="FFFFFF" w:val="clear"/>
        </w:rPr>
        <w:t>, including $252 million in share repurchases and $35 million in dividends</w:t>
      </w:r>
    </w:p>
    <w:p>
      <w:pPr>
        <w:pStyle w:val="TextBody"/>
        <w:bidi w:val="0"/>
        <w:spacing w:before="0" w:after="0"/>
        <w:jc w:val="both"/>
        <w:rPr/>
      </w:pPr>
      <w:r>
        <w:rPr/>
      </w:r>
    </w:p>
    <w:p>
      <w:pPr>
        <w:pStyle w:val="TextBody"/>
        <w:bidi w:val="0"/>
        <w:spacing w:lineRule="auto" w:line="288" w:before="0" w:after="0"/>
        <w:jc w:val="both"/>
        <w:rPr>
          <w:rFonts w:ascii="Franklin Gothic Book;sans-serif" w:hAnsi="Franklin Gothic Book;sans-serif"/>
          <w:b/>
          <w:color w:val="000000"/>
          <w:sz w:val="24"/>
          <w:u w:val="single"/>
          <w:shd w:fill="FFFFFF" w:val="clear"/>
        </w:rPr>
      </w:pPr>
      <w:r>
        <w:rPr>
          <w:rFonts w:ascii="Franklin Gothic Book;sans-serif" w:hAnsi="Franklin Gothic Book;sans-serif"/>
          <w:b/>
          <w:color w:val="000000"/>
          <w:sz w:val="24"/>
          <w:u w:val="single"/>
          <w:shd w:fill="FFFFFF" w:val="clear"/>
        </w:rPr>
        <w:t>Other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rPr>
        <w:t>Implemented the targeted $235 million in annualized Aera merger-related synergies since July 2024; expecting to realize $185 million in 2025 and the remaining $50 million in 2026</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Lowered 2025 drilling, completions and workover capital program by $5 million, and raised the midpoint of 2025 net production and adjusted EBITDAX</w:t>
      </w:r>
      <w:r>
        <w:rPr>
          <w:rFonts w:ascii="Franklin Gothic Book;sans-serif" w:hAnsi="Franklin Gothic Book;sans-serif"/>
          <w:b w:val="false"/>
          <w:color w:val="000000"/>
          <w:sz w:val="16"/>
        </w:rPr>
        <w:t>1</w:t>
      </w:r>
      <w:r>
        <w:rPr>
          <w:color w:val="000000"/>
        </w:rPr>
        <w:t xml:space="preserve"> </w:t>
      </w:r>
      <w:r>
        <w:rPr>
          <w:rFonts w:ascii="Franklin Gothic Book;sans-serif" w:hAnsi="Franklin Gothic Book;sans-serif"/>
          <w:b w:val="false"/>
          <w:color w:val="000000"/>
          <w:sz w:val="24"/>
        </w:rPr>
        <w:t xml:space="preserve">guidance to 136 MBoe/d (79% oil) and $1,235 million, respectively </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Received authorization to construct from the U.S. Environmental Protection Agency (EPA) for carbon dioxide (CO</w:t>
      </w:r>
      <w:r>
        <w:rPr>
          <w:rFonts w:ascii="Franklin Gothic Book;sans-serif" w:hAnsi="Franklin Gothic Book;sans-serif"/>
          <w:b w:val="false"/>
          <w:color w:val="000000"/>
          <w:sz w:val="16"/>
        </w:rPr>
        <w:t>2</w:t>
      </w:r>
      <w:r>
        <w:rPr>
          <w:rFonts w:ascii="Franklin Gothic Book;sans-serif" w:hAnsi="Franklin Gothic Book;sans-serif"/>
          <w:b w:val="false"/>
          <w:color w:val="000000"/>
          <w:sz w:val="24"/>
        </w:rPr>
        <w:t xml:space="preserve">) injection wells for the 26R storage reservoir. See </w:t>
      </w:r>
      <w:r>
        <w:rPr>
          <w:rFonts w:ascii="Franklin Gothic Book;sans-serif" w:hAnsi="Franklin Gothic Book;sans-serif"/>
          <w:b w:val="false"/>
          <w:i/>
          <w:color w:val="000000"/>
          <w:sz w:val="24"/>
        </w:rPr>
        <w:t>Carbon TerraVault's Second Quarter 2025 Update</w:t>
      </w:r>
      <w:r>
        <w:rPr>
          <w:color w:val="000000"/>
        </w:rPr>
        <w:t xml:space="preserve"> </w:t>
      </w:r>
      <w:r>
        <w:rPr>
          <w:rFonts w:ascii="Franklin Gothic Book;sans-serif" w:hAnsi="Franklin Gothic Book;sans-serif"/>
          <w:b w:val="false"/>
          <w:color w:val="000000"/>
          <w:sz w:val="24"/>
        </w:rPr>
        <w:t>for additional information</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w:t>
                      </w:r>
                    </w:p>
                  </w:txbxContent>
                </v:textbox>
                <w10:wrap type="none"/>
              </v:rect>
            </w:pict>
          </mc:Fallback>
        </mc:AlternateContent>
      </w:r>
    </w:p>
    <w:p>
      <w:pPr>
        <w:pStyle w:val="TextBody"/>
        <w:bidi w:val="0"/>
        <w:spacing w:lineRule="auto" w:line="288"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"We delivered a very solid second quarter that reflects the strength of our assets, the discipline of our execution, and our focus on long-term value creation," said CRC President and CEO Francisco Leon. “Our team's ability to scale efficiently has nearly doubled our revenue and strengthened profitability – while fully implementing merger synergies ahead of schedule. That performance gives us the flexibility to sharpen our focus on what matters most: driving returns, building resilience, and setting up CRC for continued success. I want to thank all CRC employees for their dedication and efforts that continue to make CRC a different kind of energy company.”</w:t>
      </w:r>
    </w:p>
    <w:p>
      <w:pPr>
        <w:pStyle w:val="TextBody"/>
        <w:bidi w:val="0"/>
        <w:spacing w:before="0" w:after="0"/>
        <w:jc w:val="both"/>
        <w:rPr/>
      </w:pPr>
      <w:r>
        <w:rPr/>
      </w:r>
    </w:p>
    <w:p>
      <w:pPr>
        <w:pStyle w:val="TextBody"/>
        <w:bidi w:val="0"/>
        <w:spacing w:lineRule="auto" w:line="26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Second Quarter 2025 Comparative Financial Results</w:t>
      </w:r>
    </w:p>
    <w:p>
      <w:pPr>
        <w:pStyle w:val="TextBody"/>
        <w:bidi w:val="0"/>
        <w:spacing w:before="0" w:after="0"/>
        <w:jc w:val="both"/>
        <w:rPr/>
      </w:pPr>
      <w:r>
        <w:rPr/>
      </w:r>
    </w:p>
    <w:tbl>
      <w:tblPr>
        <w:tblW w:w="9035" w:type="dxa"/>
        <w:jc w:val="left"/>
        <w:tblInd w:w="0" w:type="dxa"/>
        <w:tblLayout w:type="fixed"/>
        <w:tblCellMar>
          <w:top w:w="28" w:type="dxa"/>
          <w:left w:w="28" w:type="dxa"/>
          <w:bottom w:w="28" w:type="dxa"/>
          <w:right w:w="28" w:type="dxa"/>
        </w:tblCellMar>
      </w:tblPr>
      <w:tblGrid>
        <w:gridCol w:w="2180"/>
        <w:gridCol w:w="1911"/>
        <w:gridCol w:w="1923"/>
        <w:gridCol w:w="109"/>
        <w:gridCol w:w="109"/>
        <w:gridCol w:w="109"/>
        <w:gridCol w:w="235"/>
        <w:gridCol w:w="685"/>
        <w:gridCol w:w="130"/>
        <w:gridCol w:w="109"/>
        <w:gridCol w:w="109"/>
        <w:gridCol w:w="109"/>
        <w:gridCol w:w="109"/>
        <w:gridCol w:w="109"/>
        <w:gridCol w:w="109"/>
        <w:gridCol w:w="214"/>
        <w:gridCol w:w="608"/>
        <w:gridCol w:w="168"/>
      </w:tblGrid>
      <w:tr>
        <w:trPr/>
        <w:tc>
          <w:tcPr>
            <w:tcW w:w="218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Selected Production, Price and Financial Results and non-GAAP measures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1st Quarter</w:t>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in millions except production and prices)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oil production per day (MBbl/d)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oil price with derivative settlements ($ per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66.73</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NGL production per day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NGL price ($ per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42.41</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natural gas production per day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natural gas price with derivative settlements ($ per 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total production per day (MBoe/d)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Margin from purchased commodities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Electricity margin</w:t>
            </w:r>
            <w:r>
              <w:rPr>
                <w:rFonts w:ascii="Arial;sans-serif" w:hAnsi="Arial;sans-serif"/>
                <w:b w:val="false"/>
                <w:color w:val="000000"/>
                <w:sz w:val="10"/>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Net gain from commodity derivatives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operating expenses net of other revenue</w:t>
            </w:r>
            <w:r>
              <w:rPr>
                <w:rFonts w:ascii="Arial;sans-serif" w:hAnsi="Arial;sans-serif"/>
                <w:b w:val="false"/>
                <w:color w:val="000000"/>
                <w:sz w:val="10"/>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81" w:type="dxa"/>
        <w:jc w:val="left"/>
        <w:tblInd w:w="0" w:type="dxa"/>
        <w:tblLayout w:type="fixed"/>
        <w:tblCellMar>
          <w:top w:w="28" w:type="dxa"/>
          <w:left w:w="28" w:type="dxa"/>
          <w:bottom w:w="28" w:type="dxa"/>
          <w:right w:w="28" w:type="dxa"/>
        </w:tblCellMar>
      </w:tblPr>
      <w:tblGrid>
        <w:gridCol w:w="1867"/>
        <w:gridCol w:w="1644"/>
        <w:gridCol w:w="1649"/>
        <w:gridCol w:w="109"/>
        <w:gridCol w:w="109"/>
        <w:gridCol w:w="109"/>
        <w:gridCol w:w="262"/>
        <w:gridCol w:w="643"/>
        <w:gridCol w:w="145"/>
        <w:gridCol w:w="109"/>
        <w:gridCol w:w="109"/>
        <w:gridCol w:w="109"/>
        <w:gridCol w:w="109"/>
        <w:gridCol w:w="109"/>
        <w:gridCol w:w="109"/>
        <w:gridCol w:w="238"/>
        <w:gridCol w:w="565"/>
        <w:gridCol w:w="187"/>
      </w:tblGrid>
      <w:tr>
        <w:trPr/>
        <w:tc>
          <w:tcPr>
            <w:tcW w:w="1867"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Selected Financial Statement Data and non-GAAP measures: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1st Quarter</w:t>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and shares in millions, except per share amounts)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Statements of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978</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295</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Adjusted general and administrative expenses</w:t>
            </w:r>
            <w:r>
              <w:rPr>
                <w:rFonts w:ascii="Arial;sans-serif" w:hAnsi="Arial;sans-serif"/>
                <w:b w:val="false"/>
                <w:i/>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on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Transportation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debt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Deferred income tax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Net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u w:val="single"/>
              </w:rPr>
            </w:pPr>
            <w:r>
              <w:rPr>
                <w:rFonts w:ascii="Arial;sans-serif" w:hAnsi="Arial;sans-serif"/>
                <w:b/>
                <w:color w:val="000000"/>
                <w:sz w:val="16"/>
                <w:u w:val="single"/>
              </w:rPr>
              <w:t>Non-GAAP Measures, Cash Flow and Select 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net income</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net income per share</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EBITDAX</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324</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Free cash flow</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w:t>
                      </w:r>
                    </w:p>
                  </w:txbxContent>
                </v:textbox>
                <w10:wrap type="none"/>
              </v:rect>
            </w:pict>
          </mc:Fallback>
        </mc:AlternateContent>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Guidance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The following table provides select third quarter 2025E and full year 2025E guidance</w:t>
      </w:r>
      <w:r>
        <w:rPr>
          <w:rFonts w:ascii="Franklin Gothic Book;sans-serif" w:hAnsi="Franklin Gothic Book;sans-serif"/>
          <w:b w:val="false"/>
          <w:color w:val="000000"/>
          <w:sz w:val="16"/>
        </w:rPr>
        <w:t>4</w:t>
      </w:r>
      <w:r>
        <w:rPr>
          <w:rFonts w:ascii="Franklin Gothic Book;sans-serif" w:hAnsi="Franklin Gothic Book;sans-serif"/>
          <w:b w:val="false"/>
          <w:color w:val="000000"/>
          <w:sz w:val="24"/>
        </w:rPr>
        <w:t>. CRC expects to run a two-rig program in the second half of 2025. CRC currently holds permits in excess of its planned 2025 capital program requirements. See Attachment 2 for CRC's third quarter 2025E and full year 2025E guidance.</w:t>
      </w:r>
    </w:p>
    <w:p>
      <w:pPr>
        <w:pStyle w:val="TextBody"/>
        <w:bidi w:val="0"/>
        <w:spacing w:before="0" w:after="0"/>
        <w:ind w:left="0" w:right="0" w:firstLine="360"/>
        <w:jc w:val="center"/>
        <w:rPr/>
      </w:pPr>
      <w:r>
        <w:rPr/>
      </w:r>
    </w:p>
    <w:tbl>
      <w:tblPr>
        <w:tblW w:w="4785" w:type="dxa"/>
        <w:jc w:val="center"/>
        <w:tblInd w:w="0" w:type="dxa"/>
        <w:tblLayout w:type="fixed"/>
        <w:tblCellMar>
          <w:top w:w="28" w:type="dxa"/>
          <w:left w:w="28" w:type="dxa"/>
          <w:bottom w:w="28" w:type="dxa"/>
          <w:right w:w="28" w:type="dxa"/>
        </w:tblCellMar>
      </w:tblPr>
      <w:tblGrid>
        <w:gridCol w:w="912"/>
        <w:gridCol w:w="802"/>
        <w:gridCol w:w="806"/>
        <w:gridCol w:w="324"/>
        <w:gridCol w:w="324"/>
        <w:gridCol w:w="327"/>
        <w:gridCol w:w="378"/>
        <w:gridCol w:w="378"/>
        <w:gridCol w:w="534"/>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3Q25E</w:t>
            </w:r>
          </w:p>
        </w:tc>
        <w:tc>
          <w:tcPr>
            <w:tcW w:w="12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Total Year</w:t>
            </w:r>
          </w:p>
          <w:p>
            <w:pPr>
              <w:pStyle w:val="TableContents"/>
              <w:bidi w:val="0"/>
              <w:spacing w:lineRule="auto" w:line="268" w:before="0" w:after="0"/>
              <w:ind w:left="0" w:right="0" w:firstLine="135"/>
              <w:jc w:val="center"/>
              <w:rPr>
                <w:rFonts w:ascii="Arial;sans-serif" w:hAnsi="Arial;sans-serif"/>
                <w:b/>
                <w:color w:val="000000"/>
                <w:sz w:val="16"/>
              </w:rPr>
            </w:pPr>
            <w:r>
              <w:rPr>
                <w:rFonts w:ascii="Arial;sans-serif" w:hAnsi="Arial;sans-serif"/>
                <w:b/>
                <w:color w:val="000000"/>
                <w:sz w:val="16"/>
              </w:rPr>
              <w:t>2025E</w:t>
            </w:r>
          </w:p>
        </w:tc>
      </w:tr>
      <w:tr>
        <w:trPr/>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Net Production (MBoe/d)</w:t>
            </w:r>
          </w:p>
        </w:tc>
        <w:tc>
          <w:tcPr>
            <w:tcW w:w="9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135-139</w:t>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134 - 138</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35"/>
              <w:jc w:val="left"/>
              <w:rPr>
                <w:rFonts w:ascii="Arial;sans-serif" w:hAnsi="Arial;sans-serif"/>
                <w:b w:val="false"/>
                <w:color w:val="000000"/>
                <w:sz w:val="16"/>
              </w:rPr>
            </w:pPr>
            <w:r>
              <w:rPr>
                <w:rFonts w:ascii="Arial;sans-serif" w:hAnsi="Arial;sans-serif"/>
                <w:b w:val="false"/>
                <w:color w:val="000000"/>
                <w:sz w:val="16"/>
              </w:rPr>
              <w:t>Percentage Oil</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35"/>
              <w:jc w:val="left"/>
              <w:rPr>
                <w:rFonts w:ascii="Arial;sans-serif" w:hAnsi="Arial;sans-serif"/>
                <w:b w:val="false"/>
                <w:color w:val="000000"/>
                <w:sz w:val="16"/>
              </w:rPr>
            </w:pPr>
            <w:r>
              <w:rPr>
                <w:rFonts w:ascii="Arial;sans-serif" w:hAnsi="Arial;sans-serif"/>
                <w:b w:val="false"/>
                <w:color w:val="000000"/>
                <w:sz w:val="16"/>
              </w:rPr>
              <w:t>Capital Investments ($ millions)</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$84 - $108</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$280 - $330</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EBITDAX</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millions)</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$310 - $340</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$1,195 - $1,275</w:t>
            </w:r>
          </w:p>
        </w:tc>
      </w:tr>
    </w:tbl>
    <w:p>
      <w:pPr>
        <w:pStyle w:val="TextBody"/>
        <w:bidi w:val="0"/>
        <w:spacing w:before="0" w:after="0"/>
        <w:jc w:val="left"/>
        <w:rPr/>
      </w:pPr>
      <w:r>
        <w:rPr/>
      </w:r>
    </w:p>
    <w:p>
      <w:pPr>
        <w:pStyle w:val="TextBody"/>
        <w:bidi w:val="0"/>
        <w:spacing w:lineRule="auto" w:line="26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Shareholder Returns</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CRC is committed to returning cash to shareholders through dividends and repurchases of its common stock. In line with this strategy, CRC’s Board of Directors has extended its Share Repurchase Program through June 30, 2026. As of June 30, 2025, CRC had $205 million remaining for share repurchases under its authorized Share Repurchase Program.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During the second quarter of 2025, CRC paid dividends of $35 million and repurchased 5.52 million common shares for $252 million (an average price of $45.73 per share)</w:t>
      </w:r>
      <w:r>
        <w:rPr>
          <w:rFonts w:ascii="Franklin Gothic Book;sans-serif" w:hAnsi="Franklin Gothic Book;sans-serif"/>
          <w:b w:val="false"/>
          <w:color w:val="000000"/>
          <w:sz w:val="16"/>
        </w:rPr>
        <w:t>2</w:t>
      </w:r>
      <w:r>
        <w:rPr>
          <w:rFonts w:ascii="Franklin Gothic Book;sans-serif" w:hAnsi="Franklin Gothic Book;sans-serif"/>
          <w:b w:val="false"/>
          <w:color w:val="000000"/>
          <w:sz w:val="24"/>
        </w:rPr>
        <w:t xml:space="preserve">. Share repurchases include 4.95 million shares from IKAV Impact S.a.r.l (IKAV), representing 23% of the total shares issued in the Aera Merger, at $46.00 per share, for $228 million. CRC funded shareholder returns with cash on hand.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Franklin Gothic Book;sans-serif" w:hAnsi="Franklin Gothic Book;sans-serif"/>
          <w:b w:val="false"/>
          <w:color w:val="000000"/>
          <w:sz w:val="24"/>
        </w:rPr>
        <w:t>On August 5, 2025, CRC's Board of Directors declared a quarterly cash dividend</w:t>
      </w:r>
      <w:r>
        <w:rPr>
          <w:rFonts w:ascii="Franklin Gothic Book;sans-serif" w:hAnsi="Franklin Gothic Book;sans-serif"/>
          <w:b w:val="false"/>
          <w:color w:val="000000"/>
          <w:sz w:val="16"/>
        </w:rPr>
        <w:t>2</w:t>
      </w:r>
      <w:r>
        <w:rPr>
          <w:color w:val="000000"/>
        </w:rPr>
        <w:t xml:space="preserve"> </w:t>
      </w:r>
      <w:r>
        <w:rPr>
          <w:rFonts w:ascii="Franklin Gothic Book;sans-serif" w:hAnsi="Franklin Gothic Book;sans-serif"/>
          <w:b w:val="false"/>
          <w:color w:val="000000"/>
          <w:sz w:val="24"/>
        </w:rPr>
        <w:t>of $0.3875 per share of common stock, payable to shareholders of record on August 27, 2025. The dividend is expected to be paid on September 12,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Since</w:t>
      </w:r>
      <w:r>
        <w:rPr>
          <w:color w:val="000000"/>
          <w:shd w:fill="FFFFFF" w:val="clear"/>
        </w:rPr>
        <w:t xml:space="preserve"> </w:t>
      </w:r>
      <w:r>
        <w:rPr>
          <w:rFonts w:ascii="Franklin Gothic Book;sans-serif" w:hAnsi="Franklin Gothic Book;sans-serif"/>
          <w:b w:val="false"/>
          <w:color w:val="000000"/>
          <w:sz w:val="24"/>
          <w:shd w:fill="FFFFFF" w:val="clear"/>
        </w:rPr>
        <w:t>May 2021, the Company has returned nearly $1.5 billion to shareholders</w:t>
      </w:r>
      <w:r>
        <w:rPr>
          <w:rFonts w:ascii="Franklin Gothic Book;sans-serif" w:hAnsi="Franklin Gothic Book;sans-serif"/>
          <w:b w:val="false"/>
          <w:color w:val="000000"/>
          <w:sz w:val="16"/>
          <w:shd w:fill="FFFFFF" w:val="clear"/>
        </w:rPr>
        <w:t>2</w:t>
      </w:r>
      <w:r>
        <w:rPr>
          <w:rFonts w:ascii="Franklin Gothic Book;sans-serif" w:hAnsi="Franklin Gothic Book;sans-serif"/>
          <w:b w:val="false"/>
          <w:color w:val="000000"/>
          <w:sz w:val="24"/>
          <w:shd w:fill="FFFFFF" w:val="clear"/>
        </w:rPr>
        <w:t>,</w:t>
      </w:r>
      <w:r>
        <w:rPr>
          <w:color w:val="000000"/>
          <w:shd w:fill="FFFFFF" w:val="clear"/>
        </w:rPr>
        <w:t xml:space="preserve"> </w:t>
      </w:r>
      <w:r>
        <w:rPr>
          <w:rFonts w:ascii="Franklin Gothic Book;sans-serif" w:hAnsi="Franklin Gothic Book;sans-serif"/>
          <w:b w:val="false"/>
          <w:color w:val="000000"/>
          <w:sz w:val="24"/>
          <w:shd w:fill="FFFFFF" w:val="clear"/>
        </w:rPr>
        <w:t xml:space="preserve">including approximately $1.1 billion in share repurchases and $337 million in dividends. </w:t>
      </w:r>
    </w:p>
    <w:p>
      <w:pPr>
        <w:pStyle w:val="TextBody"/>
        <w:bidi w:val="0"/>
        <w:spacing w:before="0" w:after="0"/>
        <w:ind w:left="0" w:right="0" w:firstLine="36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Balance Sheet and Liquidity</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CRC plans to redeem or refinance the $122 million outstanding balance of its 2026 Senior Notes in the second half of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CRC's borrowing base under its Revolving Credit Facility is $1,500 million. As of June 30, 2025, CRC had $56 million in available cash and cash equivalents</w:t>
      </w:r>
      <w:r>
        <w:rPr>
          <w:rFonts w:ascii="Franklin Gothic Book;sans-serif" w:hAnsi="Franklin Gothic Book;sans-serif"/>
          <w:b w:val="false"/>
          <w:color w:val="000000"/>
          <w:sz w:val="16"/>
        </w:rPr>
        <w:t>4</w:t>
      </w:r>
      <w:r>
        <w:rPr>
          <w:rFonts w:ascii="Franklin Gothic Book;sans-serif" w:hAnsi="Franklin Gothic Book;sans-serif"/>
          <w:b w:val="false"/>
          <w:color w:val="000000"/>
          <w:sz w:val="24"/>
        </w:rPr>
        <w:t>, $983 million of available borrowing capacity under its Revolving Credit Faci</w:t>
      </w:r>
      <w:r>
        <w:rPr>
          <w:rFonts w:ascii="Franklin Gothic Book;sans-serif" w:hAnsi="Franklin Gothic Book;sans-serif"/>
          <w:b w:val="false"/>
          <w:color w:val="000000"/>
          <w:sz w:val="24"/>
          <w:shd w:fill="FFFFFF" w:val="clear"/>
        </w:rPr>
        <w:t>lity (which</w:t>
      </w:r>
      <w:r>
        <w:rPr>
          <w:color w:val="000000"/>
        </w:rPr>
        <w:t xml:space="preserve"> </w:t>
      </w:r>
      <w:r>
        <w:rPr>
          <w:rFonts w:ascii="Franklin Gothic Book;sans-serif" w:hAnsi="Franklin Gothic Book;sans-serif"/>
          <w:b w:val="false"/>
          <w:color w:val="000000"/>
          <w:sz w:val="24"/>
        </w:rPr>
        <w:t>reflects $1,150 million of borrowing capacity less $167 million of outstanding letters of credit) and liquidity</w:t>
      </w:r>
      <w:r>
        <w:rPr>
          <w:rFonts w:ascii="Franklin Gothic Book;sans-serif" w:hAnsi="Franklin Gothic Book;sans-serif"/>
          <w:b w:val="false"/>
          <w:color w:val="000000"/>
          <w:sz w:val="16"/>
        </w:rPr>
        <w:t>1</w:t>
      </w:r>
      <w:r>
        <w:rPr>
          <w:color w:val="000000"/>
        </w:rPr>
        <w:t xml:space="preserve"> </w:t>
      </w:r>
      <w:r>
        <w:rPr>
          <w:rFonts w:ascii="Franklin Gothic Book;sans-serif" w:hAnsi="Franklin Gothic Book;sans-serif"/>
          <w:b w:val="false"/>
          <w:color w:val="000000"/>
          <w:sz w:val="24"/>
        </w:rPr>
        <w:t>of $1,039 million.</w:t>
      </w:r>
    </w:p>
    <w:p>
      <w:pPr>
        <w:pStyle w:val="TextBody"/>
        <w:bidi w:val="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w:t>
                      </w:r>
                    </w:p>
                  </w:txbxContent>
                </v:textbox>
                <w10:wrap type="none"/>
              </v:rect>
            </w:pict>
          </mc:Fallback>
        </mc:AlternateContent>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Participation in Upcoming Investor Conference</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CRC plans to participate in the following events in August and September 2025: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Citi’s 2025 Global Energy &amp; Power Conference, August 13 - 14, Las Vegas, NV</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Barclays 39</w:t>
      </w:r>
      <w:r>
        <w:rPr>
          <w:rFonts w:ascii="Franklin Gothic Book;sans-serif" w:hAnsi="Franklin Gothic Book;sans-serif"/>
          <w:b w:val="false"/>
          <w:color w:val="000000"/>
          <w:sz w:val="16"/>
        </w:rPr>
        <w:t>th</w:t>
      </w:r>
      <w:r>
        <w:rPr>
          <w:color w:val="000000"/>
        </w:rPr>
        <w:t xml:space="preserve"> </w:t>
      </w:r>
      <w:r>
        <w:rPr>
          <w:rFonts w:ascii="Franklin Gothic Book;sans-serif" w:hAnsi="Franklin Gothic Book;sans-serif"/>
          <w:b w:val="false"/>
          <w:color w:val="000000"/>
          <w:sz w:val="24"/>
        </w:rPr>
        <w:t>Annual CEO Energy-Power Conference, September 2 - 4, New York, NY</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Goldman Sachs Global Sustainability Forum, September 25, New York, NY</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PEP Energy Conference September 29 - 30, Austin, TX</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CRC’s presentation materials will be available on the day of the event on its website. See "Events and Presentations" under the Investor Relations section on www.crc.com.</w:t>
      </w:r>
    </w:p>
    <w:p>
      <w:pPr>
        <w:pStyle w:val="TextBody"/>
        <w:bidi w:val="0"/>
        <w:spacing w:before="0" w:after="0"/>
        <w:jc w:val="left"/>
        <w:rPr/>
      </w:pPr>
      <w:r>
        <w:rPr/>
      </w:r>
    </w:p>
    <w:p>
      <w:pPr>
        <w:pStyle w:val="TextBody"/>
        <w:bidi w:val="0"/>
        <w:spacing w:lineRule="auto" w:line="288" w:before="0" w:after="0"/>
        <w:jc w:val="both"/>
        <w:rPr>
          <w:rFonts w:ascii="Franklin Gothic Book;sans-serif" w:hAnsi="Franklin Gothic Book;sans-serif"/>
          <w:b/>
          <w:color w:val="000000"/>
          <w:sz w:val="24"/>
          <w:u w:val="single"/>
          <w:shd w:fill="FFFFFF" w:val="clear"/>
        </w:rPr>
      </w:pPr>
      <w:r>
        <w:rPr>
          <w:rFonts w:ascii="Franklin Gothic Book;sans-serif" w:hAnsi="Franklin Gothic Book;sans-serif"/>
          <w:b/>
          <w:color w:val="000000"/>
          <w:sz w:val="24"/>
          <w:u w:val="single"/>
          <w:shd w:fill="FFFFFF" w:val="clear"/>
        </w:rPr>
        <w:t>Conference Call Details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shd w:fill="FFFFFF" w:val="clear"/>
        </w:rPr>
        <w:t xml:space="preserve">A conference call and webcast is scheduled for 1 p.m. ET (10 a.m. PT) on Wednesday, August 6, 2025. To participate in the call, dial (877) 328-5505 (International calls dial +1 (412) 317-5421) or access via webcast at www.crc.com. Participants may also pre-register for the conference call at </w:t>
      </w:r>
      <w:r>
        <w:rPr>
          <w:rFonts w:ascii="Franklin Gothic Book;sans-serif" w:hAnsi="Franklin Gothic Book;sans-serif"/>
          <w:b w:val="false"/>
          <w:color w:val="000000"/>
          <w:sz w:val="24"/>
        </w:rPr>
        <w:t>https://dpregister.com/sreg/10200260/ff49e72f54</w:t>
      </w:r>
      <w:r>
        <w:rPr>
          <w:rFonts w:ascii="Franklin Gothic Book;sans-serif" w:hAnsi="Franklin Gothic Book;sans-serif"/>
          <w:b w:val="false"/>
          <w:color w:val="000000"/>
          <w:sz w:val="24"/>
          <w:shd w:fill="FFFFFF" w:val="clear"/>
        </w:rPr>
        <w:t>. A digital replay of the conference call will be available for approximately 90 days.</w:t>
      </w:r>
    </w:p>
    <w:p>
      <w:pPr>
        <w:pStyle w:val="TextBody"/>
        <w:bidi w:val="0"/>
        <w:spacing w:before="0" w:after="0"/>
        <w:jc w:val="both"/>
        <w:rPr/>
      </w:pPr>
      <w:r>
        <w:rPr/>
      </w:r>
    </w:p>
    <w:p>
      <w:pPr>
        <w:pStyle w:val="TextBody"/>
        <w:bidi w:val="0"/>
        <w:spacing w:lineRule="auto" w:line="268" w:before="0" w:after="0"/>
        <w:jc w:val="both"/>
        <w:rPr/>
      </w:pPr>
      <w:r>
        <w:rPr>
          <w:rFonts w:ascii="Franklin Gothic Book;sans-serif" w:hAnsi="Franklin Gothic Book;sans-serif"/>
          <w:b w:val="false"/>
          <w:color w:val="000000"/>
          <w:sz w:val="10"/>
        </w:rPr>
        <w:t xml:space="preserve">1 </w:t>
      </w:r>
      <w:r>
        <w:rPr>
          <w:rFonts w:ascii="Franklin Gothic Book;sans-serif" w:hAnsi="Franklin Gothic Book;sans-serif"/>
          <w:b w:val="false"/>
          <w:color w:val="000000"/>
          <w:sz w:val="16"/>
        </w:rPr>
        <w:t>See Attachment 3 for the non-GAAP financial measures of operating costs per BOE, adjusted net income (loss), adjusted net income (loss) per share - basic and diluted, net cash provided by operating activities before net changes in operating assets and liabilities, adjusted EBITDAX, free cash flow, liquidity and adjusted general and administrative expenses including reconciliations to their most directly comparable GAAP measure, where applicable. See Attachment 2 for the 3Q25E and 2025E estimates of the non-GAAP measures of adjusted EBITDAX and adjusted general and administrative expenses, including reconciliations to its most directly comparable GAAP measure.</w:t>
      </w:r>
    </w:p>
    <w:p>
      <w:pPr>
        <w:pStyle w:val="TextBody"/>
        <w:bidi w:val="0"/>
        <w:spacing w:lineRule="auto" w:line="268" w:before="0" w:after="0"/>
        <w:jc w:val="both"/>
        <w:rPr/>
      </w:pPr>
      <w:r>
        <w:rPr>
          <w:rFonts w:ascii="Franklin Gothic Book;sans-serif" w:hAnsi="Franklin Gothic Book;sans-serif"/>
          <w:b w:val="false"/>
          <w:color w:val="000000"/>
          <w:sz w:val="10"/>
        </w:rPr>
        <w:t xml:space="preserve">2 </w:t>
      </w:r>
      <w:r>
        <w:rPr>
          <w:rFonts w:ascii="Franklin Gothic Book;sans-serif" w:hAnsi="Franklin Gothic Book;sans-serif"/>
          <w:b w:val="false"/>
          <w:color w:val="000000"/>
          <w:sz w:val="16"/>
        </w:rPr>
        <w:t>All of CRC’s future quarterly dividends and share repurchases are subject to commodity prices, debt agreement covenants and Board of Directors' approval. The total value of shares purchased excludes excise taxes. Commissions paid on share repurchases were not significant in all periods presented.</w:t>
      </w:r>
    </w:p>
    <w:p>
      <w:pPr>
        <w:pStyle w:val="TextBody"/>
        <w:bidi w:val="0"/>
        <w:spacing w:lineRule="auto" w:line="268" w:before="0" w:after="0"/>
        <w:jc w:val="left"/>
        <w:rPr/>
      </w:pPr>
      <w:r>
        <w:rPr>
          <w:rFonts w:ascii="Franklin Gothic Book;sans-serif" w:hAnsi="Franklin Gothic Book;sans-serif"/>
          <w:b w:val="false"/>
          <w:color w:val="000000"/>
          <w:sz w:val="10"/>
        </w:rPr>
        <w:t xml:space="preserve">3 </w:t>
      </w:r>
      <w:r>
        <w:rPr>
          <w:rFonts w:ascii="Franklin Gothic Book;sans-serif" w:hAnsi="Franklin Gothic Book;sans-serif"/>
          <w:b w:val="false"/>
          <w:color w:val="000000"/>
          <w:sz w:val="16"/>
        </w:rPr>
        <w:t xml:space="preserve">Excludes restricted cash of $16 million at June 30, 2025. </w:t>
      </w:r>
    </w:p>
    <w:p>
      <w:pPr>
        <w:pStyle w:val="TextBody"/>
        <w:bidi w:val="0"/>
        <w:spacing w:lineRule="auto" w:line="268" w:before="0" w:after="0"/>
        <w:jc w:val="both"/>
        <w:rPr/>
      </w:pPr>
      <w:r>
        <w:rPr>
          <w:rFonts w:ascii="Franklin Gothic Book;sans-serif" w:hAnsi="Franklin Gothic Book;sans-serif"/>
          <w:b w:val="false"/>
          <w:color w:val="000000"/>
          <w:sz w:val="10"/>
        </w:rPr>
        <w:t xml:space="preserve">4 </w:t>
      </w:r>
      <w:r>
        <w:rPr>
          <w:rFonts w:ascii="Franklin Gothic Book;sans-serif" w:hAnsi="Franklin Gothic Book;sans-serif"/>
          <w:b w:val="false"/>
          <w:color w:val="000000"/>
          <w:sz w:val="16"/>
        </w:rPr>
        <w:t>3Q25E guidance assumes Brent price of $66.00 per barrel of oil, NGL realizations as a percentage of Brent consistent with prior years and a NYMEX gas price of $3.40 per mcf. Total year 2025E guidance assumes Brent price of $68.00 per barrel of oil, NGL realizations as a percentage of Brent consistent with prior years and a NYMEX gas price of $3.65 per mcf. CRC's share of production under PSC contracts decreases when commodity prices rise and increases when prices fall.</w:t>
      </w:r>
    </w:p>
    <w:p>
      <w:pPr>
        <w:pStyle w:val="TextBody"/>
        <w:bidi w:val="0"/>
        <w:spacing w:before="0" w:after="0"/>
        <w:jc w:val="both"/>
        <w:rPr/>
      </w:pPr>
      <w:r>
        <w:rPr/>
      </w:r>
    </w:p>
    <w:p>
      <w:pPr>
        <w:pStyle w:val="TextBody"/>
        <w:bidi w:val="0"/>
        <w:spacing w:lineRule="auto" w:line="276" w:before="0" w:after="0"/>
        <w:jc w:val="left"/>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About California Resources Corporation</w:t>
      </w:r>
    </w:p>
    <w:p>
      <w:pPr>
        <w:pStyle w:val="TextBody"/>
        <w:bidi w:val="0"/>
        <w:spacing w:before="0" w:after="0"/>
        <w:jc w:val="left"/>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California Resources Corporation (CRC)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CCS and other emissions reducing projects. For more information about CRC, please visit www.crc.com.</w:t>
      </w:r>
    </w:p>
    <w:p>
      <w:pPr>
        <w:pStyle w:val="TextBody"/>
        <w:bidi w:val="0"/>
        <w:spacing w:before="0" w:after="0"/>
        <w:jc w:val="both"/>
        <w:rPr/>
      </w:pPr>
      <w:r>
        <w:rPr/>
      </w:r>
    </w:p>
    <w:p>
      <w:pPr>
        <w:pStyle w:val="TextBody"/>
        <w:bidi w:val="0"/>
        <w:spacing w:lineRule="auto" w:line="276"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About Carbon TerraVault</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Franklin Gothic Book;sans-serif" w:hAnsi="Franklin Gothic Book;sans-serif"/>
          <w:b w:val="false"/>
          <w:color w:val="000000"/>
          <w:sz w:val="24"/>
        </w:rPr>
        <w:t>Carbon TerraVault (CTV), CRC’s carbon management business, is developing projects to capture, transport and permanently store CO</w:t>
      </w:r>
      <w:r>
        <w:rPr>
          <w:rFonts w:ascii="Franklin Gothic Book;sans-serif" w:hAnsi="Franklin Gothic Book;sans-serif"/>
          <w:b w:val="false"/>
          <w:color w:val="000000"/>
          <w:sz w:val="16"/>
        </w:rPr>
        <w:t>2</w:t>
      </w:r>
      <w:r>
        <w:rPr>
          <w:color w:val="000000"/>
        </w:rPr>
        <w:t xml:space="preserve"> </w:t>
      </w:r>
      <w:r>
        <w:rPr>
          <w:rFonts w:ascii="Franklin Gothic Book;sans-serif" w:hAnsi="Franklin Gothic Book;sans-serif"/>
          <w:b w:val="false"/>
          <w:color w:val="000000"/>
          <w:sz w:val="24"/>
        </w:rPr>
        <w:t>for its CRC affiliates and its customers. CTV is engaged in a series of proposed CCS projects that if developed will inject CO</w:t>
      </w:r>
      <w:r>
        <w:rPr>
          <w:rFonts w:ascii="Franklin Gothic Book;sans-serif" w:hAnsi="Franklin Gothic Book;sans-serif"/>
          <w:b w:val="false"/>
          <w:color w:val="000000"/>
          <w:sz w:val="16"/>
        </w:rPr>
        <w:t>2</w:t>
      </w:r>
      <w:r>
        <w:rPr>
          <w:color w:val="000000"/>
        </w:rPr>
        <w:t xml:space="preserve"> </w:t>
      </w:r>
      <w:r>
        <w:rPr>
          <w:rFonts w:ascii="Franklin Gothic Book;sans-serif" w:hAnsi="Franklin Gothic Book;sans-serif"/>
          <w:b w:val="false"/>
          <w:color w:val="000000"/>
          <w:sz w:val="24"/>
        </w:rPr>
        <w:t>captured from industrial sources into depleted oil and gas reservoirs deep underground for permanent sequestration. For more information, visit carbonterravault.com.</w:t>
      </w:r>
    </w:p>
    <w:p>
      <w:pPr>
        <w:pStyle w:val="TextBody"/>
        <w:bidi w:val="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w:t>
                      </w:r>
                    </w:p>
                  </w:txbxContent>
                </v:textbox>
                <w10:wrap type="none"/>
              </v:rect>
            </w:pict>
          </mc:Fallback>
        </mc:AlternateContent>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Forward-Looking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These forward-looking statements are subject to risks and uncertainties that could cause actual results to differ materially from those expressed in, or implied by, such statements. </w:t>
      </w:r>
    </w:p>
    <w:p>
      <w:pPr>
        <w:pStyle w:val="TextBody"/>
        <w:bidi w:val="0"/>
        <w:spacing w:before="0" w:after="0"/>
        <w:jc w:val="left"/>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Although CRC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are described in its most recent Annual Report on Form 10-K and its other periodic filings with the Securities and Exchange Commission. These factors include, but are not limited to: fluctuations in commodity prices; production levels and/or pricing by OPEC, OPEC+ or U.S. producers; government policy, war and political conditions and events; integration efforts and projected benefits in connection with the Aera Merger and other acquisitions, divestitures and joint ventures; regulatory actions and changes that affect the oil and gas industry generally and us in particular; the efforts of activists to delay prevent oil and gas activities or the development of CRC’s carbon management segment; changes in business strategy and capital plan; lower-than-expected production; changes to estimates of reserves and related future cash flows; the recoverability of resources and unexpected geologic conditions; general economic conditions and trends; results from operations and competition in the industries in which it operates; CRC’s ability to realize the anticipated benefits from prior or future efforts to reduce costs; environmental risks and liability; the benefits contemplated by its energy transition strategies and initiatives; CRC’s ability to successfully identify, develop and finance carbon capture and storage projects, power projects and other renewable energy efforts; future dividends and share repurchases and de-leveraging efforts; and natural disasters, accidents, mechanical failures, power outages, labor difficulties, cybersecurity breaches or attacks or other catastrophic events.</w:t>
      </w:r>
    </w:p>
    <w:p>
      <w:pPr>
        <w:pStyle w:val="TextBody"/>
        <w:bidi w:val="0"/>
        <w:spacing w:before="0" w:after="0"/>
        <w:jc w:val="left"/>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CRC cautions you not to place undue reliance on forward-looking statements contained in this document, which speak only as of the filing date, and CRC undertakes no obligation to update this information. This document may also contain information from third party sources. This data may involve a number of assumptions and limitations, and CRC has not independently verified them and does not warrant the accuracy or completeness of such third-party information.</w:t>
      </w:r>
    </w:p>
    <w:p>
      <w:pPr>
        <w:pStyle w:val="TextBody"/>
        <w:bidi w:val="0"/>
        <w:spacing w:before="0" w:after="0"/>
        <w:jc w:val="left"/>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Contacts:</w:t>
      </w:r>
    </w:p>
    <w:tbl>
      <w:tblPr>
        <w:tblW w:w="10205" w:type="dxa"/>
        <w:jc w:val="left"/>
        <w:tblInd w:w="0" w:type="dxa"/>
        <w:tblLayout w:type="fixed"/>
        <w:tblCellMar>
          <w:top w:w="28" w:type="dxa"/>
          <w:left w:w="28" w:type="dxa"/>
          <w:bottom w:w="28" w:type="dxa"/>
          <w:right w:w="28" w:type="dxa"/>
        </w:tblCellMar>
      </w:tblPr>
      <w:tblGrid>
        <w:gridCol w:w="1346"/>
        <w:gridCol w:w="1182"/>
        <w:gridCol w:w="1185"/>
        <w:gridCol w:w="1192"/>
        <w:gridCol w:w="1192"/>
        <w:gridCol w:w="1194"/>
        <w:gridCol w:w="852"/>
        <w:gridCol w:w="852"/>
        <w:gridCol w:w="1210"/>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371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Joanna Park (Investor Relations)</w:t>
            </w:r>
          </w:p>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818-661-3731</w:t>
            </w:r>
          </w:p>
          <w:p>
            <w:pPr>
              <w:pStyle w:val="TableContents"/>
              <w:bidi w:val="0"/>
              <w:spacing w:lineRule="auto" w:line="268" w:before="0" w:after="0"/>
              <w:jc w:val="left"/>
              <w:rPr>
                <w:rFonts w:ascii="Franklin Gothic Book;sans-serif" w:hAnsi="Franklin Gothic Book;sans-serif"/>
                <w:b w:val="false"/>
                <w:color w:val="421BFF"/>
                <w:sz w:val="24"/>
                <w:u w:val="single"/>
              </w:rPr>
            </w:pPr>
            <w:r>
              <w:rPr>
                <w:rFonts w:ascii="Franklin Gothic Book;sans-serif" w:hAnsi="Franklin Gothic Book;sans-serif"/>
                <w:b w:val="false"/>
                <w:color w:val="421BFF"/>
                <w:sz w:val="24"/>
                <w:u w:val="single"/>
              </w:rPr>
              <w:t>Joanna.Park@crc.com</w:t>
            </w:r>
          </w:p>
        </w:tc>
        <w:tc>
          <w:tcPr>
            <w:tcW w:w="357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Daniel Juck (Investor Relations)</w:t>
            </w:r>
          </w:p>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818-661-6045</w:t>
            </w:r>
          </w:p>
          <w:p>
            <w:pPr>
              <w:pStyle w:val="TableContents"/>
              <w:bidi w:val="0"/>
              <w:spacing w:lineRule="auto" w:line="268" w:before="0" w:after="0"/>
              <w:jc w:val="left"/>
              <w:rPr>
                <w:rFonts w:ascii="Franklin Gothic Book;sans-serif" w:hAnsi="Franklin Gothic Book;sans-serif"/>
                <w:b w:val="false"/>
                <w:color w:val="421BFF"/>
                <w:sz w:val="24"/>
                <w:u w:val="single"/>
              </w:rPr>
            </w:pPr>
            <w:r>
              <w:rPr>
                <w:rFonts w:ascii="Franklin Gothic Book;sans-serif" w:hAnsi="Franklin Gothic Book;sans-serif"/>
                <w:b w:val="false"/>
                <w:color w:val="421BFF"/>
                <w:sz w:val="24"/>
                <w:u w:val="single"/>
              </w:rPr>
              <w:t>Daniel.Juck@crc.com</w:t>
            </w:r>
          </w:p>
        </w:tc>
        <w:tc>
          <w:tcPr>
            <w:tcW w:w="2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Hailey Bonus (Media)</w:t>
            </w:r>
          </w:p>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714-874-7732</w:t>
            </w:r>
          </w:p>
          <w:p>
            <w:pPr>
              <w:pStyle w:val="TableContents"/>
              <w:bidi w:val="0"/>
              <w:spacing w:lineRule="auto" w:line="268" w:before="0" w:after="0"/>
              <w:jc w:val="left"/>
              <w:rPr>
                <w:rFonts w:ascii="Franklin Gothic Book;sans-serif" w:hAnsi="Franklin Gothic Book;sans-serif"/>
                <w:b w:val="false"/>
                <w:color w:val="421BFF"/>
                <w:sz w:val="24"/>
                <w:u w:val="single"/>
              </w:rPr>
            </w:pPr>
            <w:r>
              <w:rPr>
                <w:rFonts w:ascii="Franklin Gothic Book;sans-serif" w:hAnsi="Franklin Gothic Book;sans-serif"/>
                <w:b w:val="false"/>
                <w:color w:val="421BFF"/>
                <w:sz w:val="24"/>
                <w:u w:val="single"/>
              </w:rPr>
              <w:t>Hailey.Bonus@crc.com</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82"/>
        <w:gridCol w:w="1060"/>
        <w:gridCol w:w="1065"/>
        <w:gridCol w:w="109"/>
        <w:gridCol w:w="109"/>
        <w:gridCol w:w="109"/>
        <w:gridCol w:w="214"/>
        <w:gridCol w:w="526"/>
        <w:gridCol w:w="280"/>
        <w:gridCol w:w="109"/>
        <w:gridCol w:w="109"/>
        <w:gridCol w:w="109"/>
        <w:gridCol w:w="205"/>
        <w:gridCol w:w="502"/>
        <w:gridCol w:w="267"/>
        <w:gridCol w:w="109"/>
        <w:gridCol w:w="109"/>
        <w:gridCol w:w="109"/>
        <w:gridCol w:w="214"/>
        <w:gridCol w:w="526"/>
        <w:gridCol w:w="280"/>
        <w:gridCol w:w="109"/>
        <w:gridCol w:w="109"/>
        <w:gridCol w:w="109"/>
        <w:gridCol w:w="196"/>
        <w:gridCol w:w="571"/>
        <w:gridCol w:w="256"/>
        <w:gridCol w:w="109"/>
        <w:gridCol w:w="109"/>
        <w:gridCol w:w="109"/>
        <w:gridCol w:w="196"/>
        <w:gridCol w:w="526"/>
        <w:gridCol w:w="304"/>
      </w:tblGrid>
      <w:tr>
        <w:trPr/>
        <w:tc>
          <w:tcPr>
            <w:tcW w:w="138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1</w:t>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STATEMENTS OF OPERATIONS, SELECT FINANCIAL INFORMATION</w:t>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and shares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Oil, natural gas and natural gas liquids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702</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814</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(loss) from 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from marketing of purchased 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978</w:t>
            </w: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w:t>
            </w:r>
            <w:r>
              <w:rPr>
                <w:color w:val="000000"/>
              </w:rPr>
              <w:t> </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w:t>
            </w: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1,890</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968</w:t>
            </w:r>
            <w:r>
              <w:rPr>
                <w:color w:val="000000"/>
              </w:rPr>
              <w:t>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295</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on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related to marketing of purchased 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generation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Transportation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Accretion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(gain) on natural gas purchase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Measurement period adjustments,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711</w:t>
            </w: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726</w:t>
            </w:r>
            <w:r>
              <w:rPr>
                <w:color w:val="000000"/>
              </w:rPr>
              <w:t> </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w:t>
            </w: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1,437</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941</w:t>
            </w:r>
            <w:r>
              <w:rPr>
                <w:color w:val="000000"/>
              </w:rPr>
              <w:t>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gain on asset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Operating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w:t>
            </w: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w:t>
            </w:r>
            <w:r>
              <w:rPr>
                <w:color w:val="000000"/>
              </w:rPr>
              <w:t> </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453</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Non-Operating (Expenses)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debt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investment in unconsolidated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 (provision)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per share - basic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0.12</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(0.03)</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0.11</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(0.03)</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per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0.62</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0.60</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90.6</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68.1</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68.6</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70.0</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68.6</w:t>
            </w: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2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2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2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w:t>
            </w:r>
            <w:r>
              <w:rPr>
                <w:color w:val="000000"/>
              </w:rPr>
              <w:t>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74"/>
        <w:gridCol w:w="1070"/>
        <w:gridCol w:w="1080"/>
        <w:gridCol w:w="109"/>
        <w:gridCol w:w="109"/>
        <w:gridCol w:w="109"/>
        <w:gridCol w:w="230"/>
        <w:gridCol w:w="671"/>
        <w:gridCol w:w="127"/>
        <w:gridCol w:w="109"/>
        <w:gridCol w:w="109"/>
        <w:gridCol w:w="109"/>
        <w:gridCol w:w="256"/>
        <w:gridCol w:w="740"/>
        <w:gridCol w:w="140"/>
        <w:gridCol w:w="109"/>
        <w:gridCol w:w="109"/>
        <w:gridCol w:w="109"/>
        <w:gridCol w:w="267"/>
        <w:gridCol w:w="596"/>
        <w:gridCol w:w="148"/>
        <w:gridCol w:w="109"/>
        <w:gridCol w:w="109"/>
        <w:gridCol w:w="109"/>
        <w:gridCol w:w="236"/>
        <w:gridCol w:w="592"/>
        <w:gridCol w:w="131"/>
        <w:gridCol w:w="109"/>
        <w:gridCol w:w="109"/>
        <w:gridCol w:w="109"/>
        <w:gridCol w:w="250"/>
        <w:gridCol w:w="557"/>
        <w:gridCol w:w="205"/>
      </w:tblGrid>
      <w:tr>
        <w:trPr/>
        <w:tc>
          <w:tcPr>
            <w:tcW w:w="127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vAlign w:val="center"/>
          </w:tcPr>
          <w:p>
            <w:pPr>
              <w:pStyle w:val="TableContents"/>
              <w:bidi w:val="0"/>
              <w:spacing w:before="0" w:after="283"/>
              <w:jc w:val="left"/>
              <w:rPr>
                <w:sz w:val="4"/>
                <w:szCs w:val="4"/>
              </w:rPr>
            </w:pPr>
            <w:r>
              <w:rPr>
                <w:sz w:val="4"/>
                <w:szCs w:val="4"/>
              </w:rPr>
            </w:r>
          </w:p>
        </w:tc>
        <w:tc>
          <w:tcPr>
            <w:tcW w:w="6781" w:type="dxa"/>
            <w:gridSpan w:val="30"/>
            <w:tcBorders/>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w:t>
            </w: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(82)</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(256)</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(265)</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433</w:t>
            </w: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Select Balance Sheet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1,024</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5,560</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5,680</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928</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980</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888</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1,132</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 retirement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969</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995</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3,407</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3,538</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32"/>
        <w:gridCol w:w="1170"/>
        <w:gridCol w:w="1183"/>
        <w:gridCol w:w="109"/>
        <w:gridCol w:w="109"/>
        <w:gridCol w:w="109"/>
        <w:gridCol w:w="264"/>
        <w:gridCol w:w="589"/>
        <w:gridCol w:w="146"/>
        <w:gridCol w:w="109"/>
        <w:gridCol w:w="109"/>
        <w:gridCol w:w="109"/>
        <w:gridCol w:w="260"/>
        <w:gridCol w:w="539"/>
        <w:gridCol w:w="144"/>
        <w:gridCol w:w="109"/>
        <w:gridCol w:w="109"/>
        <w:gridCol w:w="109"/>
        <w:gridCol w:w="298"/>
        <w:gridCol w:w="529"/>
        <w:gridCol w:w="167"/>
        <w:gridCol w:w="109"/>
        <w:gridCol w:w="109"/>
        <w:gridCol w:w="109"/>
        <w:gridCol w:w="251"/>
        <w:gridCol w:w="560"/>
        <w:gridCol w:w="139"/>
        <w:gridCol w:w="109"/>
        <w:gridCol w:w="109"/>
        <w:gridCol w:w="109"/>
        <w:gridCol w:w="256"/>
        <w:gridCol w:w="531"/>
        <w:gridCol w:w="212"/>
      </w:tblGrid>
      <w:tr>
        <w:trPr/>
        <w:tc>
          <w:tcPr>
            <w:tcW w:w="133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8879" w:type="dxa"/>
            <w:gridSpan w:val="27"/>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GAINS AND LOSSES FROM COMMODITY DERIVATIVES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3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commodity derivative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received (paid) on settled 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gain (loss) from 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Non-cash derivative (gain)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paid on settled 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Net loss (gain) on natural gas purchase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p>
                  </w:txbxContent>
                </v:textbox>
                <w10:wrap type="none"/>
              </v:rect>
            </w:pict>
          </mc:Fallback>
        </mc:AlternateContent>
      </w:r>
    </w:p>
    <w:tbl>
      <w:tblPr>
        <w:tblW w:w="9074" w:type="dxa"/>
        <w:jc w:val="center"/>
        <w:tblInd w:w="0" w:type="dxa"/>
        <w:tblLayout w:type="fixed"/>
        <w:tblCellMar>
          <w:top w:w="28" w:type="dxa"/>
          <w:left w:w="28" w:type="dxa"/>
          <w:bottom w:w="28" w:type="dxa"/>
          <w:right w:w="28" w:type="dxa"/>
        </w:tblCellMar>
      </w:tblPr>
      <w:tblGrid>
        <w:gridCol w:w="839"/>
        <w:gridCol w:w="739"/>
        <w:gridCol w:w="746"/>
        <w:gridCol w:w="109"/>
        <w:gridCol w:w="109"/>
        <w:gridCol w:w="109"/>
        <w:gridCol w:w="315"/>
        <w:gridCol w:w="558"/>
        <w:gridCol w:w="177"/>
        <w:gridCol w:w="109"/>
        <w:gridCol w:w="109"/>
        <w:gridCol w:w="109"/>
        <w:gridCol w:w="297"/>
        <w:gridCol w:w="526"/>
        <w:gridCol w:w="167"/>
        <w:gridCol w:w="109"/>
        <w:gridCol w:w="109"/>
        <w:gridCol w:w="109"/>
        <w:gridCol w:w="315"/>
        <w:gridCol w:w="558"/>
        <w:gridCol w:w="177"/>
        <w:gridCol w:w="109"/>
        <w:gridCol w:w="109"/>
        <w:gridCol w:w="109"/>
        <w:gridCol w:w="262"/>
        <w:gridCol w:w="583"/>
        <w:gridCol w:w="145"/>
        <w:gridCol w:w="109"/>
        <w:gridCol w:w="109"/>
        <w:gridCol w:w="109"/>
        <w:gridCol w:w="291"/>
        <w:gridCol w:w="514"/>
        <w:gridCol w:w="230"/>
      </w:tblGrid>
      <w:tr>
        <w:trPr/>
        <w:tc>
          <w:tcPr>
            <w:tcW w:w="8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395" w:type="dxa"/>
            <w:gridSpan w:val="21"/>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CAPITAL INVESTMENTS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50" w:type="dxa"/>
            <w:gridSpan w:val="30"/>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Drilling and completions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Workovers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Oil and natural gas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Carbon management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capital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w:t>
            </w:r>
            <w:r>
              <w:rPr>
                <w:color w:val="000000"/>
              </w:rPr>
              <w:t>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w:t>
            </w:r>
            <w:r>
              <w:rPr>
                <w:color w:val="000000"/>
              </w:rPr>
              <w:t> </w:t>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50" w:type="dxa"/>
            <w:gridSpan w:val="30"/>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p>
                  </w:txbxContent>
                </v:textbox>
                <w10:wrap type="none"/>
              </v:rect>
            </w:pict>
          </mc:Fallback>
        </mc:AlternateContent>
      </w:r>
    </w:p>
    <w:tbl>
      <w:tblPr>
        <w:tblW w:w="10176" w:type="dxa"/>
        <w:jc w:val="left"/>
        <w:tblInd w:w="0" w:type="dxa"/>
        <w:tblLayout w:type="fixed"/>
        <w:tblCellMar>
          <w:top w:w="28" w:type="dxa"/>
          <w:left w:w="28" w:type="dxa"/>
          <w:bottom w:w="28" w:type="dxa"/>
          <w:right w:w="28" w:type="dxa"/>
        </w:tblCellMar>
      </w:tblPr>
      <w:tblGrid>
        <w:gridCol w:w="1639"/>
        <w:gridCol w:w="1441"/>
        <w:gridCol w:w="1450"/>
        <w:gridCol w:w="109"/>
        <w:gridCol w:w="109"/>
        <w:gridCol w:w="109"/>
        <w:gridCol w:w="390"/>
        <w:gridCol w:w="390"/>
        <w:gridCol w:w="391"/>
        <w:gridCol w:w="109"/>
        <w:gridCol w:w="109"/>
        <w:gridCol w:w="109"/>
        <w:gridCol w:w="564"/>
        <w:gridCol w:w="564"/>
        <w:gridCol w:w="566"/>
        <w:gridCol w:w="109"/>
        <w:gridCol w:w="109"/>
        <w:gridCol w:w="109"/>
        <w:gridCol w:w="526"/>
        <w:gridCol w:w="526"/>
        <w:gridCol w:w="748"/>
      </w:tblGrid>
      <w:tr>
        <w:trPr/>
        <w:tc>
          <w:tcPr>
            <w:tcW w:w="163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2</w:t>
            </w:r>
          </w:p>
        </w:tc>
      </w:tr>
      <w:tr>
        <w:trPr/>
        <w:tc>
          <w:tcPr>
            <w:tcW w:w="45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THIRD QUARTER 2025E GUIDANCE</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Consolidated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3Q25E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Oil and Natural Gas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Carbon Management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r>
      <w:tr>
        <w:trPr/>
        <w:tc>
          <w:tcPr>
            <w:tcW w:w="4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production (MBoe/d)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135-139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oil production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costs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$300 - $330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$300 - $330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 expenses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$74 - $88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$10 -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 $4</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Adjusted general and administrative expenses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$70 - $80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$10 -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$2 - $4</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depletion and amortization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$131 - $135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$112 - $118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Capital investments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$84 - $108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$71 - $89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$8 - $10</w:t>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35"/>
              <w:jc w:val="left"/>
              <w:rPr>
                <w:rFonts w:ascii="Arial;sans-serif" w:hAnsi="Arial;sans-serif"/>
                <w:b w:val="false"/>
                <w:i/>
                <w:color w:val="000000"/>
                <w:sz w:val="16"/>
              </w:rPr>
            </w:pPr>
            <w:r>
              <w:rPr>
                <w:rFonts w:ascii="Arial;sans-serif" w:hAnsi="Arial;sans-serif"/>
                <w:b w:val="false"/>
                <w:i/>
                <w:color w:val="000000"/>
                <w:sz w:val="16"/>
              </w:rPr>
              <w:t>Drilling, completion and workover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$46 - $54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$46 - $54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EBITDAX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$310 - $340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$280 - $305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$(15) - $(11)</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Margin from purchased commodities ($ millions) </w:t>
            </w:r>
            <w:r>
              <w:rPr>
                <w:rFonts w:ascii="Arial;sans-serif" w:hAnsi="Arial;sans-serif"/>
                <w:b w:val="false"/>
                <w:color w:val="000000"/>
                <w:sz w:val="10"/>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$17 -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Electricity margin ($ millions) </w:t>
            </w:r>
            <w:r>
              <w:rPr>
                <w:rFonts w:ascii="Arial;sans-serif" w:hAnsi="Arial;sans-serif"/>
                <w:b w:val="false"/>
                <w:color w:val="000000"/>
                <w:sz w:val="10"/>
              </w:rPr>
              <w:t>(2)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$75 -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operating expenses net of other revenue ($ millions) </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$0 -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$7 - $13</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Transportation costs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$20 - $26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$9 -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Taxes other than on income ($ millions)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$64 - $74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$52 - $57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debt expense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$25 -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Brent ($/Bbl)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NYMEX ($/Mcf)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oil - % of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94% to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NGLs - % of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54% to 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natural gas - % of NYMEX: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94% to 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95%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29"/>
        <w:gridCol w:w="1431"/>
        <w:gridCol w:w="1440"/>
        <w:gridCol w:w="109"/>
        <w:gridCol w:w="109"/>
        <w:gridCol w:w="109"/>
        <w:gridCol w:w="413"/>
        <w:gridCol w:w="413"/>
        <w:gridCol w:w="415"/>
        <w:gridCol w:w="109"/>
        <w:gridCol w:w="109"/>
        <w:gridCol w:w="109"/>
        <w:gridCol w:w="561"/>
        <w:gridCol w:w="561"/>
        <w:gridCol w:w="564"/>
        <w:gridCol w:w="109"/>
        <w:gridCol w:w="109"/>
        <w:gridCol w:w="109"/>
        <w:gridCol w:w="525"/>
        <w:gridCol w:w="525"/>
        <w:gridCol w:w="747"/>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THIRD QUARTER 2025E GUIDANCE</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br/>
              <w:t>2025E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Oil and Natural Gas </w:t>
              <w:br/>
              <w:t> 2025E</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Carbon Management</w:t>
              <w:br/>
              <w:t>2025E</w:t>
            </w:r>
          </w:p>
        </w:tc>
      </w:tr>
      <w:tr>
        <w:trPr/>
        <w:tc>
          <w:tcPr>
            <w:tcW w:w="4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production (MBoe/d)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134 - 138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oil production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costs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$1,220 - $1,280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$1,220 - $1,280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 expenses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$310 - $335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$40 -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$10 - $15</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Adjusted general and administrative expenses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$290 - $310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$40 -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$10 - $15</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depletion and amortization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$515 - $530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$447 - $462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Capital investments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$280 - $330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$245 - $275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$20 - $30</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35"/>
              <w:jc w:val="left"/>
              <w:rPr>
                <w:rFonts w:ascii="Arial;sans-serif" w:hAnsi="Arial;sans-serif"/>
                <w:b w:val="false"/>
                <w:i/>
                <w:color w:val="000000"/>
                <w:sz w:val="16"/>
              </w:rPr>
            </w:pPr>
            <w:r>
              <w:rPr>
                <w:rFonts w:ascii="Arial;sans-serif" w:hAnsi="Arial;sans-serif"/>
                <w:b w:val="false"/>
                <w:i/>
                <w:color w:val="000000"/>
                <w:sz w:val="16"/>
              </w:rPr>
              <w:t>Drilling, completion and workover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$160 - $175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$160 - $175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EBITDAX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$1,195 - $1,275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$1,210 - $1,340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($68) - ($64)</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Margin from purchased commodities ($ millions) </w:t>
            </w:r>
            <w:r>
              <w:rPr>
                <w:rFonts w:ascii="Arial;sans-serif" w:hAnsi="Arial;sans-serif"/>
                <w:b w:val="false"/>
                <w:color w:val="000000"/>
                <w:sz w:val="10"/>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$65 - $80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Electricity margin ($ millions) </w:t>
            </w:r>
            <w:r>
              <w:rPr>
                <w:rFonts w:ascii="Arial;sans-serif" w:hAnsi="Arial;sans-serif"/>
                <w:b w:val="false"/>
                <w:color w:val="000000"/>
                <w:sz w:val="10"/>
              </w:rPr>
              <w:t xml:space="preserve">(2)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$175 - $190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operating expenses net of other revenue ($ millions) </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$80 - $135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$45 - $60</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Transportation costs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$82 - $94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$39 - $43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Taxes other than on income ($ millions)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$235 - $260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$190 - $220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debt expense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$100 - $110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Brent ($/Bbl)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NYMEX ($/Mcf)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oil - % of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95% to 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NGLs - % of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60% to 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natural gas - % of NYMEX: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90% to 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43% - 49%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10"/>
        </w:rPr>
        <w:t xml:space="preserve">(1) </w:t>
      </w:r>
      <w:r>
        <w:rPr>
          <w:rFonts w:ascii="Arial;sans-serif" w:hAnsi="Arial;sans-serif"/>
          <w:b w:val="false"/>
          <w:color w:val="000000"/>
          <w:sz w:val="16"/>
        </w:rPr>
        <w:t>Margin from purchased commodities is calculated as the difference between revenue from marketing of purchased commodities and costs related to marketing of purchased commodities, and excludes costs of transportation.</w:t>
      </w:r>
    </w:p>
    <w:p>
      <w:pPr>
        <w:pStyle w:val="TextBody"/>
        <w:bidi w:val="0"/>
        <w:spacing w:lineRule="auto" w:line="268" w:before="0" w:after="0"/>
        <w:jc w:val="both"/>
        <w:rPr/>
      </w:pPr>
      <w:r>
        <w:rPr>
          <w:rFonts w:ascii="Arial;sans-serif" w:hAnsi="Arial;sans-serif"/>
          <w:b w:val="false"/>
          <w:color w:val="000000"/>
          <w:sz w:val="10"/>
        </w:rPr>
        <w:t xml:space="preserve">(2) </w:t>
      </w:r>
      <w:r>
        <w:rPr>
          <w:rFonts w:ascii="Arial;sans-serif" w:hAnsi="Arial;sans-serif"/>
          <w:b w:val="false"/>
          <w:color w:val="000000"/>
          <w:sz w:val="16"/>
        </w:rPr>
        <w:t>Electricity margin is calculated as the difference between electricity sales and electricity generation expenses.</w:t>
      </w:r>
    </w:p>
    <w:p>
      <w:pPr>
        <w:pStyle w:val="TextBody"/>
        <w:bidi w:val="0"/>
        <w:spacing w:lineRule="auto" w:line="268" w:before="0" w:after="0"/>
        <w:jc w:val="both"/>
        <w:rPr/>
      </w:pPr>
      <w:r>
        <w:rPr>
          <w:rFonts w:ascii="Arial;sans-serif" w:hAnsi="Arial;sans-serif"/>
          <w:b w:val="false"/>
          <w:color w:val="000000"/>
          <w:sz w:val="10"/>
        </w:rPr>
        <w:t xml:space="preserve">(3) </w:t>
      </w:r>
      <w:r>
        <w:rPr>
          <w:rFonts w:ascii="Arial;sans-serif" w:hAnsi="Arial;sans-serif"/>
          <w:b w:val="false"/>
          <w:color w:val="000000"/>
          <w:sz w:val="16"/>
        </w:rPr>
        <w:t>Other operating revenue and expenses, net is calculated as the difference between other revenue and other operating expenses, net and includes exploration expense and CMB expenses. CMB expenses includes lease cost for sequestration easements, advocacy, and other startup related costs.</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See Attachment 3 for management's disclosure of its use of these non-GAAP measures and how these measures provide useful information to investors about CRC's results of operations and financial condition.</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color w:val="000000"/>
          <w:sz w:val="16"/>
        </w:rPr>
      </w:pPr>
      <w:r>
        <w:rPr>
          <w:rFonts w:ascii="Arial;sans-serif" w:hAnsi="Arial;sans-serif"/>
          <w:b/>
          <w:color w:val="000000"/>
          <w:sz w:val="16"/>
        </w:rPr>
        <w:t>FORWARD LOOKING NON-GAAP RECONCILIATIONS</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A reconciliation of the non-GAAP measure of segment adjusted EBITDAX cannot be reconciled to the comparable measure of operating cash flow prepared in accordance with GAAP without unreasonable effort. We have included a reconciliation of the GAAP measure of segment profit to segment adjusted EBITDAX.</w:t>
      </w:r>
    </w:p>
    <w:tbl>
      <w:tblPr>
        <w:tblW w:w="10205" w:type="dxa"/>
        <w:jc w:val="left"/>
        <w:tblInd w:w="0" w:type="dxa"/>
        <w:tblLayout w:type="fixed"/>
        <w:tblCellMar>
          <w:top w:w="28" w:type="dxa"/>
          <w:left w:w="28" w:type="dxa"/>
          <w:bottom w:w="28" w:type="dxa"/>
          <w:right w:w="28" w:type="dxa"/>
        </w:tblCellMar>
      </w:tblPr>
      <w:tblGrid>
        <w:gridCol w:w="1534"/>
        <w:gridCol w:w="1337"/>
        <w:gridCol w:w="1349"/>
        <w:gridCol w:w="109"/>
        <w:gridCol w:w="109"/>
        <w:gridCol w:w="109"/>
        <w:gridCol w:w="196"/>
        <w:gridCol w:w="331"/>
        <w:gridCol w:w="109"/>
        <w:gridCol w:w="109"/>
        <w:gridCol w:w="109"/>
        <w:gridCol w:w="109"/>
        <w:gridCol w:w="196"/>
        <w:gridCol w:w="331"/>
        <w:gridCol w:w="109"/>
        <w:gridCol w:w="109"/>
        <w:gridCol w:w="109"/>
        <w:gridCol w:w="109"/>
        <w:gridCol w:w="201"/>
        <w:gridCol w:w="339"/>
        <w:gridCol w:w="111"/>
        <w:gridCol w:w="111"/>
        <w:gridCol w:w="111"/>
        <w:gridCol w:w="111"/>
        <w:gridCol w:w="201"/>
        <w:gridCol w:w="339"/>
        <w:gridCol w:w="111"/>
        <w:gridCol w:w="109"/>
        <w:gridCol w:w="109"/>
        <w:gridCol w:w="109"/>
        <w:gridCol w:w="236"/>
        <w:gridCol w:w="289"/>
        <w:gridCol w:w="131"/>
        <w:gridCol w:w="131"/>
        <w:gridCol w:w="131"/>
        <w:gridCol w:w="131"/>
        <w:gridCol w:w="236"/>
        <w:gridCol w:w="289"/>
        <w:gridCol w:w="196"/>
      </w:tblGrid>
      <w:tr>
        <w:trPr/>
        <w:tc>
          <w:tcPr>
            <w:tcW w:w="15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8"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3Q25E</w:t>
            </w:r>
          </w:p>
        </w:tc>
      </w:tr>
      <w:tr>
        <w:trPr/>
        <w:tc>
          <w:tcPr>
            <w:tcW w:w="4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Oil and Natural Gas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Carbon Management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r>
      <w:tr>
        <w:trPr/>
        <w:tc>
          <w:tcPr>
            <w:tcW w:w="4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4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Equity-settled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4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90"/>
        <w:gridCol w:w="1002"/>
        <w:gridCol w:w="1011"/>
        <w:gridCol w:w="109"/>
        <w:gridCol w:w="109"/>
        <w:gridCol w:w="109"/>
        <w:gridCol w:w="196"/>
        <w:gridCol w:w="421"/>
        <w:gridCol w:w="109"/>
        <w:gridCol w:w="109"/>
        <w:gridCol w:w="109"/>
        <w:gridCol w:w="109"/>
        <w:gridCol w:w="196"/>
        <w:gridCol w:w="421"/>
        <w:gridCol w:w="109"/>
        <w:gridCol w:w="109"/>
        <w:gridCol w:w="109"/>
        <w:gridCol w:w="109"/>
        <w:gridCol w:w="253"/>
        <w:gridCol w:w="428"/>
        <w:gridCol w:w="140"/>
        <w:gridCol w:w="140"/>
        <w:gridCol w:w="140"/>
        <w:gridCol w:w="140"/>
        <w:gridCol w:w="253"/>
        <w:gridCol w:w="428"/>
        <w:gridCol w:w="140"/>
        <w:gridCol w:w="109"/>
        <w:gridCol w:w="109"/>
        <w:gridCol w:w="109"/>
        <w:gridCol w:w="259"/>
        <w:gridCol w:w="437"/>
        <w:gridCol w:w="144"/>
        <w:gridCol w:w="144"/>
        <w:gridCol w:w="144"/>
        <w:gridCol w:w="144"/>
        <w:gridCol w:w="259"/>
        <w:gridCol w:w="437"/>
        <w:gridCol w:w="212"/>
      </w:tblGrid>
      <w:tr>
        <w:trPr/>
        <w:tc>
          <w:tcPr>
            <w:tcW w:w="119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Year 2025E</w:t>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Oil and Natural Gas Segment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Carbon Management Segment</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Equity-settled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501" w:type="dxa"/>
        <w:jc w:val="left"/>
        <w:tblInd w:w="0" w:type="dxa"/>
        <w:tblLayout w:type="fixed"/>
        <w:tblCellMar>
          <w:top w:w="28" w:type="dxa"/>
          <w:left w:w="28" w:type="dxa"/>
          <w:bottom w:w="28" w:type="dxa"/>
          <w:right w:w="28" w:type="dxa"/>
        </w:tblCellMar>
      </w:tblPr>
      <w:tblGrid>
        <w:gridCol w:w="1434"/>
        <w:gridCol w:w="1268"/>
        <w:gridCol w:w="1272"/>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Consolidated </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3Q25E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2025E</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Exploration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from investment on unconsolidated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Unusual, infrequent and other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Accretion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Stock-settled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EBITDAX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Working capital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EBITDAX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41" w:type="dxa"/>
        <w:jc w:val="left"/>
        <w:tblInd w:w="0" w:type="dxa"/>
        <w:tblLayout w:type="fixed"/>
        <w:tblCellMar>
          <w:top w:w="28" w:type="dxa"/>
          <w:left w:w="28" w:type="dxa"/>
          <w:bottom w:w="28" w:type="dxa"/>
          <w:right w:w="28" w:type="dxa"/>
        </w:tblCellMar>
      </w:tblPr>
      <w:tblGrid>
        <w:gridCol w:w="1088"/>
        <w:gridCol w:w="962"/>
        <w:gridCol w:w="964"/>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108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Oil and Natural Gas Segment</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3Q25E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2025E</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Unusual, infrequent and other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Accretion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EBITDAX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52" w:type="dxa"/>
        <w:jc w:val="left"/>
        <w:tblInd w:w="0" w:type="dxa"/>
        <w:tblLayout w:type="fixed"/>
        <w:tblCellMar>
          <w:top w:w="28" w:type="dxa"/>
          <w:left w:w="28" w:type="dxa"/>
          <w:bottom w:w="28" w:type="dxa"/>
          <w:right w:w="28" w:type="dxa"/>
        </w:tblCellMar>
      </w:tblPr>
      <w:tblGrid>
        <w:gridCol w:w="1393"/>
        <w:gridCol w:w="1229"/>
        <w:gridCol w:w="1233"/>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54"/>
      </w:tblGrid>
      <w:tr>
        <w:trPr/>
        <w:tc>
          <w:tcPr>
            <w:tcW w:w="139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Carbon Management Segment</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3Q25E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2025E</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investment on unconsolidated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Stock-settled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EBITDAX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p>
                  </w:txbxContent>
                </v:textbox>
                <w10:wrap type="none"/>
              </v:rect>
            </w:pict>
          </mc:Fallback>
        </mc:AlternateContent>
      </w:r>
    </w:p>
    <w:tbl>
      <w:tblPr>
        <w:tblW w:w="8082" w:type="dxa"/>
        <w:jc w:val="left"/>
        <w:tblInd w:w="0" w:type="dxa"/>
        <w:tblLayout w:type="fixed"/>
        <w:tblCellMar>
          <w:top w:w="28" w:type="dxa"/>
          <w:left w:w="28" w:type="dxa"/>
          <w:bottom w:w="28" w:type="dxa"/>
          <w:right w:w="28" w:type="dxa"/>
        </w:tblCellMar>
      </w:tblPr>
      <w:tblGrid>
        <w:gridCol w:w="1446"/>
        <w:gridCol w:w="1275"/>
        <w:gridCol w:w="1284"/>
        <w:gridCol w:w="109"/>
        <w:gridCol w:w="109"/>
        <w:gridCol w:w="109"/>
        <w:gridCol w:w="196"/>
        <w:gridCol w:w="331"/>
        <w:gridCol w:w="109"/>
        <w:gridCol w:w="109"/>
        <w:gridCol w:w="109"/>
        <w:gridCol w:w="109"/>
        <w:gridCol w:w="196"/>
        <w:gridCol w:w="331"/>
        <w:gridCol w:w="109"/>
        <w:gridCol w:w="109"/>
        <w:gridCol w:w="109"/>
        <w:gridCol w:w="109"/>
        <w:gridCol w:w="196"/>
        <w:gridCol w:w="421"/>
        <w:gridCol w:w="109"/>
        <w:gridCol w:w="109"/>
        <w:gridCol w:w="109"/>
        <w:gridCol w:w="109"/>
        <w:gridCol w:w="196"/>
        <w:gridCol w:w="421"/>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Consolidated </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3Q25E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2025E</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Revenue from marketing of purchased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Costs related to marketing of purchased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Margin from purchased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67" w:type="dxa"/>
        <w:jc w:val="left"/>
        <w:tblInd w:w="0" w:type="dxa"/>
        <w:tblLayout w:type="fixed"/>
        <w:tblCellMar>
          <w:top w:w="28" w:type="dxa"/>
          <w:left w:w="28" w:type="dxa"/>
          <w:bottom w:w="28" w:type="dxa"/>
          <w:right w:w="28" w:type="dxa"/>
        </w:tblCellMar>
      </w:tblPr>
      <w:tblGrid>
        <w:gridCol w:w="867"/>
        <w:gridCol w:w="766"/>
        <w:gridCol w:w="767"/>
        <w:gridCol w:w="109"/>
        <w:gridCol w:w="109"/>
        <w:gridCol w:w="109"/>
        <w:gridCol w:w="196"/>
        <w:gridCol w:w="33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Consolidated </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3Q25E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2025E</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generation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Electricity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21" w:type="dxa"/>
        <w:jc w:val="left"/>
        <w:tblInd w:w="0" w:type="dxa"/>
        <w:tblLayout w:type="fixed"/>
        <w:tblCellMar>
          <w:top w:w="28" w:type="dxa"/>
          <w:left w:w="28" w:type="dxa"/>
          <w:bottom w:w="28" w:type="dxa"/>
          <w:right w:w="28" w:type="dxa"/>
        </w:tblCellMar>
      </w:tblPr>
      <w:tblGrid>
        <w:gridCol w:w="1213"/>
        <w:gridCol w:w="1071"/>
        <w:gridCol w:w="1075"/>
        <w:gridCol w:w="109"/>
        <w:gridCol w:w="109"/>
        <w:gridCol w:w="109"/>
        <w:gridCol w:w="196"/>
        <w:gridCol w:w="406"/>
        <w:gridCol w:w="109"/>
        <w:gridCol w:w="109"/>
        <w:gridCol w:w="109"/>
        <w:gridCol w:w="109"/>
        <w:gridCol w:w="196"/>
        <w:gridCol w:w="331"/>
        <w:gridCol w:w="109"/>
        <w:gridCol w:w="109"/>
        <w:gridCol w:w="109"/>
        <w:gridCol w:w="109"/>
        <w:gridCol w:w="196"/>
        <w:gridCol w:w="331"/>
        <w:gridCol w:w="109"/>
        <w:gridCol w:w="109"/>
        <w:gridCol w:w="109"/>
        <w:gridCol w:w="109"/>
        <w:gridCol w:w="196"/>
        <w:gridCol w:w="421"/>
        <w:gridCol w:w="154"/>
      </w:tblGrid>
      <w:tr>
        <w:trPr/>
        <w:tc>
          <w:tcPr>
            <w:tcW w:w="121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Consolidated </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3Q25E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2025E</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operating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Operating expenses net of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21"/>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164"/>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7"/>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3</w:t>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7"/>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NON-GAAP FINANCIAL MEASURES AND RECONCILIATIONS</w:t>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 xml:space="preserve">To supplement the presentation of its financial results prepared in accordance with U.S generally accepted accounting principles (GAAP), management uses certain non-GAAP measures to assess its financial condition, results of operations and cash flows. The non-GAAP measures include adjusted net income (loss), adjusted net income (loss) per share, adjusted EBITDAX, adjusted EBITDAX per Boe, adjusted EBITDAX for the oil and natural gas segment, adjusted EBITDAX for the carbon management business, net cash provided by operating activities before net changes in operating assets and liabilities, free cash flow, liquidity, adjusted general and administrative expenses and adjusted G&amp;A per Boe. These measures are also widely used by the industry, the investment community and CRC's lenders. Although these are non-GAAP measures, the amounts included in the calculations were computed in accordance with GAAP. Certain items excluded from these non-GAAP measures are significant components in understanding and assessing CRC's financial performance, such as CRC's cost of capital and tax structure, as well as the effect of acquisition and development costs of CRC's assets. Management believes that the non-GAAP measures presented, when viewed in combination with CRC's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these non-GAAP measures, including reconciliations to their most directly comparable GAAP measure where applicable. </w:t>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39"/>
        <w:gridCol w:w="183"/>
        <w:gridCol w:w="183"/>
        <w:gridCol w:w="170"/>
        <w:gridCol w:w="170"/>
        <w:gridCol w:w="170"/>
        <w:gridCol w:w="306"/>
        <w:gridCol w:w="751"/>
        <w:gridCol w:w="170"/>
        <w:gridCol w:w="170"/>
        <w:gridCol w:w="170"/>
        <w:gridCol w:w="170"/>
        <w:gridCol w:w="306"/>
        <w:gridCol w:w="751"/>
        <w:gridCol w:w="170"/>
        <w:gridCol w:w="170"/>
        <w:gridCol w:w="170"/>
        <w:gridCol w:w="170"/>
        <w:gridCol w:w="306"/>
        <w:gridCol w:w="751"/>
        <w:gridCol w:w="170"/>
        <w:gridCol w:w="170"/>
        <w:gridCol w:w="170"/>
        <w:gridCol w:w="170"/>
        <w:gridCol w:w="306"/>
        <w:gridCol w:w="751"/>
        <w:gridCol w:w="170"/>
        <w:gridCol w:w="170"/>
        <w:gridCol w:w="170"/>
        <w:gridCol w:w="170"/>
        <w:gridCol w:w="306"/>
        <w:gridCol w:w="787"/>
        <w:gridCol w:w="249"/>
      </w:tblGrid>
      <w:tr>
        <w:trPr/>
        <w:tc>
          <w:tcPr>
            <w:tcW w:w="10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(LOSS)</w:t>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 reporting periods. Management believes these non-GAAP measures provide useful information to the industry and the investment community interested in comparing CRC's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and net income attributable to common stock per share to the non-GAAP financial measures of adjusted net income and adjusted net income per share.</w:t>
            </w:r>
          </w:p>
        </w:tc>
      </w:tr>
      <w:tr>
        <w:trPr/>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 except per share amounts)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Unusual, infrequent and other items: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Non-cash derivative (gain) loss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(140)</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(162)</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w:t>
            </w: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 and termination costs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Aera merger-related costs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Increased power and fuel costs due to power plant maintenance</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on asset divestitures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Litigation and settlement related expenses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Measurement period adjustments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unusual, infrequent and other items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(127)</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 provision (benefit) of adjustments at the blended tax rate</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per share – basic</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0.12</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(0.03)</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per share – diluted</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(0.03)</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net income per share – basic</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0.62</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net income per share – diluted</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37"/>
        <w:gridCol w:w="159"/>
        <w:gridCol w:w="159"/>
        <w:gridCol w:w="159"/>
        <w:gridCol w:w="159"/>
        <w:gridCol w:w="159"/>
        <w:gridCol w:w="286"/>
        <w:gridCol w:w="833"/>
        <w:gridCol w:w="159"/>
        <w:gridCol w:w="159"/>
        <w:gridCol w:w="159"/>
        <w:gridCol w:w="159"/>
        <w:gridCol w:w="286"/>
        <w:gridCol w:w="833"/>
        <w:gridCol w:w="159"/>
        <w:gridCol w:w="159"/>
        <w:gridCol w:w="159"/>
        <w:gridCol w:w="159"/>
        <w:gridCol w:w="286"/>
        <w:gridCol w:w="833"/>
        <w:gridCol w:w="159"/>
        <w:gridCol w:w="159"/>
        <w:gridCol w:w="159"/>
        <w:gridCol w:w="159"/>
        <w:gridCol w:w="286"/>
        <w:gridCol w:w="833"/>
        <w:gridCol w:w="159"/>
        <w:gridCol w:w="159"/>
        <w:gridCol w:w="159"/>
        <w:gridCol w:w="159"/>
        <w:gridCol w:w="286"/>
        <w:gridCol w:w="833"/>
        <w:gridCol w:w="234"/>
      </w:tblGrid>
      <w:tr>
        <w:trPr/>
        <w:tc>
          <w:tcPr>
            <w:tcW w:w="10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 </w:t>
            </w:r>
          </w:p>
          <w:p>
            <w:pPr>
              <w:pStyle w:val="TableContents"/>
              <w:bidi w:val="0"/>
              <w:spacing w:before="0" w:after="0"/>
              <w:jc w:val="both"/>
              <w:rPr/>
            </w:pPr>
            <w:r>
              <w:rPr/>
            </w:r>
          </w:p>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The following table represents a reconciliation of the GAAP financial measures of net income and net cash provided by operating activities to the non-GAAP financial measure of adjusted EBITDAX. CRC has included non-GAAP measures of adjusted EBITDAX for its oil and gas segment and its carbon management segment. Management believes these segment non-GAAP measures are useful for investors to understand the results of the oil and gas business and its developing carbon management business. </w:t>
            </w:r>
          </w:p>
          <w:p>
            <w:pPr>
              <w:pStyle w:val="TableContents"/>
              <w:bidi w:val="0"/>
              <w:spacing w:before="0" w:after="0"/>
              <w:jc w:val="both"/>
              <w:rPr/>
            </w:pPr>
            <w:r>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 except per BOE amounts)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expense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investment in unconsolidated subsidiaries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Unusual, infrequent and other items </w:t>
            </w:r>
            <w:r>
              <w:rPr>
                <w:rFonts w:ascii="Arial;sans-serif" w:hAnsi="Arial;sans-serif"/>
                <w:b w:val="false"/>
                <w:color w:val="000000"/>
                <w:sz w:val="10"/>
              </w:rPr>
              <w:t>(1)</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items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Accretion expense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Stock-based compensation</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Pension and post-retirement benefits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324</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w:t>
            </w:r>
            <w:r>
              <w:rPr>
                <w:color w:val="000000"/>
              </w:rPr>
              <w:t>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 payments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 received</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income taxes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expenditures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working capital changes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324</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w:t>
            </w:r>
            <w:r>
              <w:rPr>
                <w:color w:val="000000"/>
              </w:rPr>
              <w:t>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 per Boe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25.92</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20.23</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25.93</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20.86</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See Adjusted Net Income (Loss) reconciliation.</w:t>
            </w:r>
          </w:p>
        </w:tc>
      </w:tr>
    </w:tbl>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47"/>
        <w:gridCol w:w="207"/>
        <w:gridCol w:w="207"/>
        <w:gridCol w:w="179"/>
        <w:gridCol w:w="179"/>
        <w:gridCol w:w="179"/>
        <w:gridCol w:w="322"/>
        <w:gridCol w:w="718"/>
        <w:gridCol w:w="179"/>
        <w:gridCol w:w="179"/>
        <w:gridCol w:w="179"/>
        <w:gridCol w:w="179"/>
        <w:gridCol w:w="322"/>
        <w:gridCol w:w="718"/>
        <w:gridCol w:w="179"/>
        <w:gridCol w:w="175"/>
        <w:gridCol w:w="175"/>
        <w:gridCol w:w="175"/>
        <w:gridCol w:w="315"/>
        <w:gridCol w:w="701"/>
        <w:gridCol w:w="175"/>
        <w:gridCol w:w="175"/>
        <w:gridCol w:w="175"/>
        <w:gridCol w:w="175"/>
        <w:gridCol w:w="315"/>
        <w:gridCol w:w="701"/>
        <w:gridCol w:w="175"/>
        <w:gridCol w:w="175"/>
        <w:gridCol w:w="175"/>
        <w:gridCol w:w="175"/>
        <w:gridCol w:w="315"/>
        <w:gridCol w:w="701"/>
        <w:gridCol w:w="259"/>
      </w:tblGrid>
      <w:tr>
        <w:trPr/>
        <w:tc>
          <w:tcPr>
            <w:tcW w:w="10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973" w:type="dxa"/>
            <w:gridSpan w:val="15"/>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ADJUSTED EBITDAX</w:t>
            </w:r>
          </w:p>
        </w:tc>
        <w:tc>
          <w:tcPr>
            <w:tcW w:w="5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00000"/>
                <w:sz w:val="16"/>
              </w:rPr>
              <w:t xml:space="preserve">CRC defines segments adjusted EBITDAX as segment profit adjusted for depreciation, depletion and amortization; exploration expense, other unusual, infrequent and out-of-period items and other non-cash items. CRC believes this segment measure provides useful information in assessing the financial results of each segment. Although this is a non-GAAP measure, the amounts included in the calculation were computed in accordance with GAAP. This measure should be read in conjunction with Note 16 </w:t>
            </w:r>
            <w:r>
              <w:rPr>
                <w:rFonts w:ascii="Arial;sans-serif" w:hAnsi="Arial;sans-serif"/>
                <w:b w:val="false"/>
                <w:i/>
                <w:color w:val="000000"/>
                <w:sz w:val="16"/>
              </w:rPr>
              <w:t>Segment Information</w:t>
            </w:r>
            <w:r>
              <w:rPr>
                <w:color w:val="000000"/>
              </w:rPr>
              <w:t xml:space="preserve"> </w:t>
            </w:r>
            <w:r>
              <w:rPr>
                <w:rFonts w:ascii="Arial;sans-serif" w:hAnsi="Arial;sans-serif"/>
                <w:b w:val="false"/>
                <w:color w:val="000000"/>
                <w:sz w:val="16"/>
              </w:rPr>
              <w:t>in CRC’s 2024 Annual Report. A reconciliation of the non-GAAP measure of segment adjusted EBITDAX cannot be reconciled to the comparable measure of operating cash flow prepared in accordance with GAAP without unreasonable effort.</w:t>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Oil &amp; Natural Gas Segment</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 except per BOE amounts)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266</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460</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w:t>
            </w:r>
            <w:r>
              <w:rPr>
                <w:color w:val="000000"/>
              </w:rPr>
              <w:t>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expense</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expense</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income items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 - Oil and Natural Gas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422</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768</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w:t>
            </w:r>
            <w:r>
              <w:rPr>
                <w:color w:val="000000"/>
              </w:rPr>
              <w:t>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Carbon Management Segment</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loss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on contingent liability (related to Carbon TerraVault JV)</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investment in unconsolidated subsidiaries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income items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 - Carbon Management</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03"/>
        <w:gridCol w:w="244"/>
        <w:gridCol w:w="244"/>
        <w:gridCol w:w="178"/>
        <w:gridCol w:w="178"/>
        <w:gridCol w:w="178"/>
        <w:gridCol w:w="320"/>
        <w:gridCol w:w="713"/>
        <w:gridCol w:w="178"/>
        <w:gridCol w:w="178"/>
        <w:gridCol w:w="178"/>
        <w:gridCol w:w="178"/>
        <w:gridCol w:w="320"/>
        <w:gridCol w:w="713"/>
        <w:gridCol w:w="178"/>
        <w:gridCol w:w="178"/>
        <w:gridCol w:w="178"/>
        <w:gridCol w:w="178"/>
        <w:gridCol w:w="367"/>
        <w:gridCol w:w="566"/>
        <w:gridCol w:w="178"/>
        <w:gridCol w:w="178"/>
        <w:gridCol w:w="178"/>
        <w:gridCol w:w="178"/>
        <w:gridCol w:w="320"/>
        <w:gridCol w:w="713"/>
        <w:gridCol w:w="178"/>
        <w:gridCol w:w="178"/>
        <w:gridCol w:w="178"/>
        <w:gridCol w:w="178"/>
        <w:gridCol w:w="320"/>
        <w:gridCol w:w="713"/>
        <w:gridCol w:w="267"/>
      </w:tblGrid>
      <w:tr>
        <w:trPr/>
        <w:tc>
          <w:tcPr>
            <w:tcW w:w="100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FREE CASH FLOW</w:t>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Management uses free cash flow, which is defined by CRC as net cash provided by operating activities less capital investments, as a measure of liquidity. The following table presents a reconciliation of CRC's net cash provided by operating activities to free cash flow. CRC defines free cash flow after special items as free cash flow before transaction and integration costs from the Aera Merger.</w:t>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investments</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Free cash flow</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 Aera merger-related costs</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Free cash flow after special items</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w:t>
            </w:r>
            <w:r>
              <w:rPr>
                <w:color w:val="000000"/>
              </w:rPr>
              <w:t> </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8714" w:type="dxa"/>
            <w:gridSpan w:val="30"/>
            <w:tcBorders/>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8714" w:type="dxa"/>
            <w:gridSpan w:val="30"/>
            <w:tcBorders/>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8714"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74"/>
        <w:gridCol w:w="584"/>
        <w:gridCol w:w="333"/>
        <w:gridCol w:w="167"/>
        <w:gridCol w:w="167"/>
        <w:gridCol w:w="167"/>
        <w:gridCol w:w="300"/>
        <w:gridCol w:w="738"/>
        <w:gridCol w:w="167"/>
        <w:gridCol w:w="167"/>
        <w:gridCol w:w="167"/>
        <w:gridCol w:w="167"/>
        <w:gridCol w:w="300"/>
        <w:gridCol w:w="738"/>
        <w:gridCol w:w="167"/>
        <w:gridCol w:w="167"/>
        <w:gridCol w:w="167"/>
        <w:gridCol w:w="167"/>
        <w:gridCol w:w="300"/>
        <w:gridCol w:w="738"/>
        <w:gridCol w:w="167"/>
        <w:gridCol w:w="167"/>
        <w:gridCol w:w="167"/>
        <w:gridCol w:w="167"/>
        <w:gridCol w:w="300"/>
        <w:gridCol w:w="738"/>
        <w:gridCol w:w="167"/>
        <w:gridCol w:w="167"/>
        <w:gridCol w:w="167"/>
        <w:gridCol w:w="167"/>
        <w:gridCol w:w="300"/>
        <w:gridCol w:w="738"/>
        <w:gridCol w:w="251"/>
      </w:tblGrid>
      <w:tr>
        <w:trPr/>
        <w:tc>
          <w:tcPr>
            <w:tcW w:w="67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GENERAL &amp; ADMINISTRATIVE EXPENSES</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16"/>
              </w:rPr>
            </w:pPr>
            <w:r>
              <w:rPr>
                <w:rFonts w:ascii="Arial;sans-serif" w:hAnsi="Arial;sans-serif"/>
                <w:b w:val="false"/>
                <w:color w:val="000000"/>
                <w:sz w:val="16"/>
              </w:rPr>
              <w:t xml:space="preserve">Management uses a measure called adjusted general and administrative (G&amp;A) expenses and adjusted G&amp;A per BOE to provide useful information to investors interested in comparing CRC's costs between periods and performance to its peers. </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Information technology infrastructure</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G&amp;A expenses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w:t>
            </w:r>
            <w:r>
              <w:rPr>
                <w:color w:val="000000"/>
              </w:rPr>
              <w:t>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G&amp;A per BOE</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5.77</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5.22</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8.15</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5.49</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7.60</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07"/>
        <w:gridCol w:w="534"/>
        <w:gridCol w:w="495"/>
        <w:gridCol w:w="180"/>
        <w:gridCol w:w="180"/>
        <w:gridCol w:w="180"/>
        <w:gridCol w:w="362"/>
        <w:gridCol w:w="571"/>
        <w:gridCol w:w="180"/>
        <w:gridCol w:w="180"/>
        <w:gridCol w:w="180"/>
        <w:gridCol w:w="180"/>
        <w:gridCol w:w="362"/>
        <w:gridCol w:w="571"/>
        <w:gridCol w:w="180"/>
        <w:gridCol w:w="180"/>
        <w:gridCol w:w="180"/>
        <w:gridCol w:w="180"/>
        <w:gridCol w:w="362"/>
        <w:gridCol w:w="571"/>
        <w:gridCol w:w="180"/>
        <w:gridCol w:w="180"/>
        <w:gridCol w:w="180"/>
        <w:gridCol w:w="180"/>
        <w:gridCol w:w="323"/>
        <w:gridCol w:w="720"/>
        <w:gridCol w:w="180"/>
        <w:gridCol w:w="180"/>
        <w:gridCol w:w="180"/>
        <w:gridCol w:w="180"/>
        <w:gridCol w:w="323"/>
        <w:gridCol w:w="720"/>
        <w:gridCol w:w="2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MARGIN FROM PURCHASED COMMODITIES</w:t>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Management uses a measure called margin from purchased commodities, which is calculated as the difference between revenue from purchased commodities and costs related to purchased commodities and exudes transportation costs. </w:t>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Revenue from purchased commodities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w:t>
            </w:r>
            <w:r>
              <w:rPr>
                <w:color w:val="000000"/>
              </w:rPr>
              <w:t>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Costs related to purchased commodities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(97)</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Margin from purchased commodities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57"/>
        <w:gridCol w:w="564"/>
        <w:gridCol w:w="565"/>
        <w:gridCol w:w="183"/>
        <w:gridCol w:w="183"/>
        <w:gridCol w:w="183"/>
        <w:gridCol w:w="352"/>
        <w:gridCol w:w="582"/>
        <w:gridCol w:w="183"/>
        <w:gridCol w:w="183"/>
        <w:gridCol w:w="183"/>
        <w:gridCol w:w="183"/>
        <w:gridCol w:w="352"/>
        <w:gridCol w:w="582"/>
        <w:gridCol w:w="183"/>
        <w:gridCol w:w="183"/>
        <w:gridCol w:w="183"/>
        <w:gridCol w:w="183"/>
        <w:gridCol w:w="352"/>
        <w:gridCol w:w="582"/>
        <w:gridCol w:w="183"/>
        <w:gridCol w:w="183"/>
        <w:gridCol w:w="183"/>
        <w:gridCol w:w="183"/>
        <w:gridCol w:w="352"/>
        <w:gridCol w:w="582"/>
        <w:gridCol w:w="183"/>
        <w:gridCol w:w="183"/>
        <w:gridCol w:w="183"/>
        <w:gridCol w:w="183"/>
        <w:gridCol w:w="352"/>
        <w:gridCol w:w="582"/>
        <w:gridCol w:w="272"/>
      </w:tblGrid>
      <w:tr>
        <w:trPr/>
        <w:tc>
          <w:tcPr>
            <w:tcW w:w="6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ELECTRICITY MARGIN</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Management uses a measure called electricity margin, which is calculated as the difference between electricity sales and electricity generation expenses. </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sales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generation expenses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margin</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23"/>
        <w:gridCol w:w="636"/>
        <w:gridCol w:w="628"/>
        <w:gridCol w:w="175"/>
        <w:gridCol w:w="175"/>
        <w:gridCol w:w="175"/>
        <w:gridCol w:w="347"/>
        <w:gridCol w:w="556"/>
        <w:gridCol w:w="175"/>
        <w:gridCol w:w="175"/>
        <w:gridCol w:w="175"/>
        <w:gridCol w:w="175"/>
        <w:gridCol w:w="347"/>
        <w:gridCol w:w="556"/>
        <w:gridCol w:w="175"/>
        <w:gridCol w:w="175"/>
        <w:gridCol w:w="175"/>
        <w:gridCol w:w="175"/>
        <w:gridCol w:w="347"/>
        <w:gridCol w:w="556"/>
        <w:gridCol w:w="175"/>
        <w:gridCol w:w="175"/>
        <w:gridCol w:w="175"/>
        <w:gridCol w:w="175"/>
        <w:gridCol w:w="347"/>
        <w:gridCol w:w="556"/>
        <w:gridCol w:w="175"/>
        <w:gridCol w:w="175"/>
        <w:gridCol w:w="175"/>
        <w:gridCol w:w="175"/>
        <w:gridCol w:w="315"/>
        <w:gridCol w:w="701"/>
        <w:gridCol w:w="265"/>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OTHER OPERATING EXPENSES NET OF OTHER REVENUE</w:t>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Management uses a measure called other operating expenses net of other revenue, which is calculated as the difference between other operating expenses, net and other revenue.</w:t>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operating expenses, net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revenue</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operating expenses net of other revenue</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10"/>
        <w:gridCol w:w="356"/>
        <w:gridCol w:w="356"/>
        <w:gridCol w:w="356"/>
        <w:gridCol w:w="356"/>
        <w:gridCol w:w="356"/>
        <w:gridCol w:w="640"/>
        <w:gridCol w:w="1866"/>
        <w:gridCol w:w="356"/>
        <w:gridCol w:w="356"/>
        <w:gridCol w:w="356"/>
        <w:gridCol w:w="356"/>
        <w:gridCol w:w="659"/>
        <w:gridCol w:w="1866"/>
        <w:gridCol w:w="356"/>
        <w:gridCol w:w="109"/>
        <w:gridCol w:w="109"/>
        <w:gridCol w:w="109"/>
        <w:gridCol w:w="109"/>
        <w:gridCol w:w="109"/>
        <w:gridCol w:w="159"/>
      </w:tblGrid>
      <w:tr>
        <w:trPr/>
        <w:tc>
          <w:tcPr>
            <w:tcW w:w="91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01" w:type="dxa"/>
            <w:gridSpan w:val="15"/>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LIQUIDITY</w:t>
            </w:r>
          </w:p>
        </w:tc>
        <w:tc>
          <w:tcPr>
            <w:tcW w:w="704" w:type="dxa"/>
            <w:gridSpan w:val="6"/>
            <w:tcBorders/>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01" w:type="dxa"/>
            <w:gridSpan w:val="15"/>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Management uses a measure called liquidity, which is defined as available cash and available borrowing capacity under our Revolving Credit Facility. CRC believes this measure provides a more comprehensive assessment of the Company’s immediate access to capital than cash alone and reflects management’s emphasis on maintaining financial flexibility and prudent liquidity risk management.</w:t>
            </w:r>
          </w:p>
        </w:tc>
        <w:tc>
          <w:tcPr>
            <w:tcW w:w="704" w:type="dxa"/>
            <w:gridSpan w:val="6"/>
            <w:tcBorders/>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Available cash and cash equivalents</w:t>
            </w:r>
            <w:r>
              <w:rPr>
                <w:rFonts w:ascii="Arial;sans-serif" w:hAnsi="Arial;sans-serif"/>
                <w:b w:val="false"/>
                <w:color w:val="000000"/>
                <w:sz w:val="10"/>
              </w:rPr>
              <w:t>(1)</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354</w:t>
            </w:r>
            <w:r>
              <w:rPr>
                <w:color w:val="000000"/>
              </w:rPr>
              <w:t>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Revolving credit facility:</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Borrowing capacity</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1,150</w:t>
            </w:r>
            <w:r>
              <w:rPr>
                <w:color w:val="000000"/>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1,150</w:t>
            </w:r>
            <w:r>
              <w:rPr>
                <w:color w:val="000000"/>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letters of credit</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Availability</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983</w:t>
            </w:r>
            <w:r>
              <w:rPr>
                <w:color w:val="000000"/>
              </w:rPr>
              <w:t>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983</w:t>
            </w:r>
            <w:r>
              <w:rPr>
                <w:color w:val="000000"/>
              </w:rPr>
              <w:t>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Liquidity</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1,039</w:t>
            </w:r>
            <w:r>
              <w:rPr>
                <w:color w:val="000000"/>
              </w:rPr>
              <w:t>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1,337</w:t>
            </w:r>
            <w:r>
              <w:rPr>
                <w:color w:val="000000"/>
              </w:rPr>
              <w:t>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01"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 xml:space="preserve">(1) Excludes restricted cash of $16 million and $18 million at June 30, 2025 and December 31, 2024, respectively. </w:t>
            </w:r>
          </w:p>
        </w:tc>
        <w:tc>
          <w:tcPr>
            <w:tcW w:w="704"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p>
                  </w:txbxContent>
                </v:textbox>
                <w10:wrap type="none"/>
              </v:rect>
            </w:pict>
          </mc:Fallback>
        </mc:AlternateContent>
      </w:r>
    </w:p>
    <w:tbl>
      <w:tblPr>
        <w:tblW w:w="9281" w:type="dxa"/>
        <w:jc w:val="center"/>
        <w:tblInd w:w="0" w:type="dxa"/>
        <w:tblLayout w:type="fixed"/>
        <w:tblCellMar>
          <w:top w:w="28" w:type="dxa"/>
          <w:left w:w="28" w:type="dxa"/>
          <w:bottom w:w="28" w:type="dxa"/>
          <w:right w:w="28" w:type="dxa"/>
        </w:tblCellMar>
      </w:tblPr>
      <w:tblGrid>
        <w:gridCol w:w="917"/>
        <w:gridCol w:w="808"/>
        <w:gridCol w:w="810"/>
        <w:gridCol w:w="109"/>
        <w:gridCol w:w="109"/>
        <w:gridCol w:w="109"/>
        <w:gridCol w:w="349"/>
        <w:gridCol w:w="349"/>
        <w:gridCol w:w="351"/>
        <w:gridCol w:w="109"/>
        <w:gridCol w:w="109"/>
        <w:gridCol w:w="109"/>
        <w:gridCol w:w="329"/>
        <w:gridCol w:w="329"/>
        <w:gridCol w:w="331"/>
        <w:gridCol w:w="109"/>
        <w:gridCol w:w="109"/>
        <w:gridCol w:w="109"/>
        <w:gridCol w:w="349"/>
        <w:gridCol w:w="349"/>
        <w:gridCol w:w="351"/>
        <w:gridCol w:w="109"/>
        <w:gridCol w:w="109"/>
        <w:gridCol w:w="109"/>
        <w:gridCol w:w="329"/>
        <w:gridCol w:w="329"/>
        <w:gridCol w:w="331"/>
        <w:gridCol w:w="109"/>
        <w:gridCol w:w="109"/>
        <w:gridCol w:w="109"/>
        <w:gridCol w:w="303"/>
        <w:gridCol w:w="303"/>
        <w:gridCol w:w="429"/>
      </w:tblGrid>
      <w:tr>
        <w:trPr/>
        <w:tc>
          <w:tcPr>
            <w:tcW w:w="9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9281" w:type="dxa"/>
            <w:gridSpan w:val="3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4</w:t>
            </w:r>
          </w:p>
        </w:tc>
      </w:tr>
      <w:tr>
        <w:trPr/>
        <w:tc>
          <w:tcPr>
            <w:tcW w:w="253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PRODUCTION STATISTICS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Production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Oil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NGLs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Natural Gas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Production (MBoe/d)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6746" w:type="dxa"/>
            <w:gridSpan w:val="30"/>
            <w:tcBorders/>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bl>
    <w:tbl>
      <w:tblPr>
        <w:tblW w:w="9956" w:type="dxa"/>
        <w:jc w:val="center"/>
        <w:tblInd w:w="0" w:type="dxa"/>
        <w:tblLayout w:type="fixed"/>
        <w:tblCellMar>
          <w:top w:w="28" w:type="dxa"/>
          <w:left w:w="28" w:type="dxa"/>
          <w:bottom w:w="28" w:type="dxa"/>
          <w:right w:w="28" w:type="dxa"/>
        </w:tblCellMar>
      </w:tblPr>
      <w:tblGrid>
        <w:gridCol w:w="1162"/>
        <w:gridCol w:w="1023"/>
        <w:gridCol w:w="1025"/>
        <w:gridCol w:w="109"/>
        <w:gridCol w:w="109"/>
        <w:gridCol w:w="109"/>
        <w:gridCol w:w="349"/>
        <w:gridCol w:w="349"/>
        <w:gridCol w:w="351"/>
        <w:gridCol w:w="109"/>
        <w:gridCol w:w="109"/>
        <w:gridCol w:w="109"/>
        <w:gridCol w:w="329"/>
        <w:gridCol w:w="329"/>
        <w:gridCol w:w="331"/>
        <w:gridCol w:w="109"/>
        <w:gridCol w:w="109"/>
        <w:gridCol w:w="109"/>
        <w:gridCol w:w="349"/>
        <w:gridCol w:w="349"/>
        <w:gridCol w:w="351"/>
        <w:gridCol w:w="109"/>
        <w:gridCol w:w="109"/>
        <w:gridCol w:w="109"/>
        <w:gridCol w:w="329"/>
        <w:gridCol w:w="329"/>
        <w:gridCol w:w="331"/>
        <w:gridCol w:w="109"/>
        <w:gridCol w:w="109"/>
        <w:gridCol w:w="109"/>
        <w:gridCol w:w="303"/>
        <w:gridCol w:w="303"/>
        <w:gridCol w:w="429"/>
      </w:tblGrid>
      <w:tr>
        <w:trPr/>
        <w:tc>
          <w:tcPr>
            <w:tcW w:w="11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6746" w:type="dxa"/>
            <w:gridSpan w:val="30"/>
            <w:tcBorders/>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Operated and Net Non-Operated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Production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Oil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NGLs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Natural Gas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Gross Production (MBoe/d)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6"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03"/>
        <w:gridCol w:w="1058"/>
        <w:gridCol w:w="1063"/>
        <w:gridCol w:w="109"/>
        <w:gridCol w:w="109"/>
        <w:gridCol w:w="109"/>
        <w:gridCol w:w="197"/>
        <w:gridCol w:w="576"/>
        <w:gridCol w:w="258"/>
        <w:gridCol w:w="109"/>
        <w:gridCol w:w="109"/>
        <w:gridCol w:w="109"/>
        <w:gridCol w:w="196"/>
        <w:gridCol w:w="571"/>
        <w:gridCol w:w="256"/>
        <w:gridCol w:w="109"/>
        <w:gridCol w:w="109"/>
        <w:gridCol w:w="109"/>
        <w:gridCol w:w="197"/>
        <w:gridCol w:w="576"/>
        <w:gridCol w:w="258"/>
        <w:gridCol w:w="109"/>
        <w:gridCol w:w="109"/>
        <w:gridCol w:w="109"/>
        <w:gridCol w:w="196"/>
        <w:gridCol w:w="571"/>
        <w:gridCol w:w="256"/>
        <w:gridCol w:w="109"/>
        <w:gridCol w:w="109"/>
        <w:gridCol w:w="109"/>
        <w:gridCol w:w="207"/>
        <w:gridCol w:w="604"/>
        <w:gridCol w:w="327"/>
      </w:tblGrid>
      <w:tr>
        <w:trPr/>
        <w:tc>
          <w:tcPr>
            <w:tcW w:w="120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5</w:t>
            </w:r>
          </w:p>
        </w:tc>
      </w:tr>
      <w:tr>
        <w:trPr/>
        <w:tc>
          <w:tcPr>
            <w:tcW w:w="332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PRICE STATISTICS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Oil ($ per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 derivative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66.73</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72.01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81.29</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69.39</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79.20</w:t>
            </w: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without derivative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65.07</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73.57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83.14</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81.63</w:t>
            </w: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42.41</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46.96</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48.60</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48.76</w:t>
            </w: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 derivative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w:t>
            </w: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without derivative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w:t>
            </w: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Index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Brent oil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66.76</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74.92</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85.00</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70.84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83.42</w:t>
            </w: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WTI oil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63.74</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71.42</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80.57</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67.58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78.77</w:t>
            </w: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NYMEX average monthly settled price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3.55</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w:t>
            </w: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Realized Prices as Percentage of Index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 derivative settlements as a percentage of Brent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3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without derivative settlements as a percentage of Brent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3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 derivative settlements as a percentage of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w:t>
            </w:r>
            <w:r>
              <w:rPr>
                <w:color w:val="000000"/>
              </w:rPr>
              <w:t> </w:t>
            </w:r>
          </w:p>
        </w:tc>
        <w:tc>
          <w:tcPr>
            <w:tcW w:w="3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without derivative settlements as a percentage of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w:t>
            </w:r>
            <w:r>
              <w:rPr>
                <w:color w:val="000000"/>
              </w:rPr>
              <w:t> </w:t>
            </w:r>
          </w:p>
        </w:tc>
        <w:tc>
          <w:tcPr>
            <w:tcW w:w="3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as a percentage of Brent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3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as a percentage of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3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with derivative settlements as a percentage of NYMEX contract month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3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without derivative settlements as a percentage of NYMEX contract month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3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before="0" w:after="0"/>
        <w:jc w:val="left"/>
        <w:rPr/>
      </w:pPr>
      <w:r>
        <w:rPr/>
      </w:r>
    </w:p>
    <w:p>
      <w:pPr>
        <w:pStyle w:val="TextBody"/>
        <w:bidi w:val="0"/>
        <w:spacing w:before="0" w:after="0"/>
        <w:jc w:val="left"/>
        <w:rPr/>
      </w:pPr>
      <w:r>
        <w:rPr/>
      </w:r>
    </w:p>
    <w:tbl>
      <w:tblPr>
        <w:tblW w:w="311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71"/>
        <w:gridCol w:w="1099"/>
        <w:gridCol w:w="1106"/>
        <w:gridCol w:w="109"/>
        <w:gridCol w:w="109"/>
        <w:gridCol w:w="109"/>
        <w:gridCol w:w="352"/>
        <w:gridCol w:w="352"/>
        <w:gridCol w:w="354"/>
        <w:gridCol w:w="109"/>
        <w:gridCol w:w="109"/>
        <w:gridCol w:w="109"/>
        <w:gridCol w:w="352"/>
        <w:gridCol w:w="352"/>
        <w:gridCol w:w="354"/>
        <w:gridCol w:w="109"/>
        <w:gridCol w:w="109"/>
        <w:gridCol w:w="109"/>
        <w:gridCol w:w="240"/>
        <w:gridCol w:w="240"/>
        <w:gridCol w:w="241"/>
        <w:gridCol w:w="109"/>
        <w:gridCol w:w="109"/>
        <w:gridCol w:w="109"/>
        <w:gridCol w:w="350"/>
        <w:gridCol w:w="350"/>
        <w:gridCol w:w="351"/>
        <w:gridCol w:w="109"/>
        <w:gridCol w:w="109"/>
        <w:gridCol w:w="109"/>
        <w:gridCol w:w="351"/>
        <w:gridCol w:w="351"/>
        <w:gridCol w:w="504"/>
      </w:tblGrid>
      <w:tr>
        <w:trPr/>
        <w:tc>
          <w:tcPr>
            <w:tcW w:w="127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6</w:t>
            </w:r>
          </w:p>
        </w:tc>
      </w:tr>
      <w:tr>
        <w:trPr/>
        <w:tc>
          <w:tcPr>
            <w:tcW w:w="347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SECOND QUARTER 2025 DRILLING ACTIVITY</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San Joaquin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Ventura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Sacramento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Wells Drilled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Development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Waterflood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Steamflood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w:t>
            </w:r>
            <w:r>
              <w:rPr>
                <w:color w:val="000000"/>
              </w:rPr>
              <w:t xml:space="preserv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r>
      <w:tr>
        <w:trPr/>
        <w:tc>
          <w:tcPr>
            <w:tcW w:w="3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2025 DRILLING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San Joaquin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Ventura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Sacramento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Wells Drilled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Development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Waterflood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Steamflood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w:t>
            </w:r>
            <w:r>
              <w:rPr>
                <w:color w:val="000000"/>
              </w:rPr>
              <w:t xml:space="preserv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w:t>
            </w:r>
          </w:p>
        </w:tc>
      </w:tr>
      <w:tr>
        <w:trPr/>
        <w:tc>
          <w:tcPr>
            <w:tcW w:w="3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steam injectors and drilled but uncompleted wells, which are not included in the SEC definition of wells drilled.</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Franklin Gothic Book">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7119</Words>
  <Characters>35747</Characters>
  <CharactersWithSpaces>41593</CharactersWithSpaces>
  <Paragraphs>2476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