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4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06/11/2021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230,000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33.08  15,651,592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0"/>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2000 AVENUE OF THE STARS, 12TH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6">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42">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tcBorders>
              <w:bottom w:val="single" w:sz="8" w:color="0000EE"/>
            </w:tcBorders>
            <w:gridSpan w:val="2"/>
          </w:tcPr>
          <w:p>
            <w:pPr>
              <w:spacing w:after="0" w:line="221" w:lineRule="exact"/>
              <w:rPr>
                <w:rFonts w:ascii="Arial" w:cs="Arial" w:eastAsia="Arial" w:hAnsi="Arial"/>
                <w:sz w:val="21"/>
                <w:szCs w:val="21"/>
                <w:color w:val="0000EE"/>
                <w:w w:val="95"/>
              </w:rPr>
            </w:pPr>
            <w:hyperlink r:id="rId48">
              <w:r>
                <w:rPr>
                  <w:rFonts w:ascii="Arial" w:cs="Arial" w:eastAsia="Arial" w:hAnsi="Arial"/>
                  <w:sz w:val="21"/>
                  <w:szCs w:val="21"/>
                  <w:color w:val="0000EE"/>
                  <w:w w:val="95"/>
                </w:rPr>
                <w:t>SSF IV Energy I AIV 1B,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51" w:orient="portrait"/>
          <w:cols w:equalWidth="0" w:num="1">
            <w:col w:w="9979"/>
          </w:cols>
          <w:pgMar w:left="480" w:top="131"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ectPr>
          <w:pgSz w:w="11900" w:h="16851" w:orient="portrait"/>
          <w:cols w:equalWidth="0" w:num="1">
            <w:col w:w="9979"/>
          </w:cols>
          <w:pgMar w:left="480" w:top="13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4">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941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2809240" cy="194183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15,651,592 shares of Common Stock by reason of the direct or indirect beneficial ownership of such shares as follows: (i) ACOF AIV 1A directly holds 729,909 shares of Common Stock, (ii) ACOF AIV 1B directly holds 2,671,090 shares of Common Stock, (iii) ACOF AIV 2 directly holds 2,721,044 shares of Common Stock, (iv) AEOF AIV A-B directly holds 1,894,861 shares of Common Stock, (v) AEOF AIV C directly holds 804,524 shares of Common Stock, (vi) SSF AIV 1A directly holds 303,620 shares of Common Stock, (vii) SSF AIV 1B directly holds 270,693 shares of Common Stock, (viii) SSF AIV 2 directly holds 440,669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312"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8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Manager /s/ Naseem Sagatti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69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Manager /s/ Naseem Sagatti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69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Manager /s/ Naseem Sagatti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69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Manager /s/ Naseem Sagatti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69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8680" w:space="80"/>
            <w:col w:w="2140"/>
          </w:cols>
          <w:pgMar w:left="480" w:top="312"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AEOF ECR AIV C, L.P. By:</w:t>
      </w:r>
      <w:r>
        <w:rPr>
          <w:sz w:val="20"/>
          <w:szCs w:val="20"/>
          <w:color w:val="auto"/>
        </w:rPr>
        <w:tab/>
      </w: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36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69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ectPr>
          <w:pgSz w:w="11900" w:h="16838" w:orient="portrait"/>
          <w:cols w:equalWidth="0" w:num="1">
            <w:col w:w="10900"/>
          </w:cols>
          <w:pgMar w:left="480" w:top="31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715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6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69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69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69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24" Type="http://schemas.openxmlformats.org/officeDocument/2006/relationships/hyperlink" Target="http://www.sec.gov/cgi-bin/browse-edgar?action=getcompany&amp;CIK=0001831200" TargetMode="External"/><Relationship Id="rId30" Type="http://schemas.openxmlformats.org/officeDocument/2006/relationships/hyperlink" Target="http://www.sec.gov/cgi-bin/browse-edgar?action=getcompany&amp;CIK=0001831202" TargetMode="External"/><Relationship Id="rId36" Type="http://schemas.openxmlformats.org/officeDocument/2006/relationships/hyperlink" Target="http://www.sec.gov/cgi-bin/browse-edgar?action=getcompany&amp;CIK=0001831203" TargetMode="External"/><Relationship Id="rId42" Type="http://schemas.openxmlformats.org/officeDocument/2006/relationships/hyperlink" Target="http://www.sec.gov/cgi-bin/browse-edgar?action=getcompany&amp;CIK=0001831197" TargetMode="External"/><Relationship Id="rId48" Type="http://schemas.openxmlformats.org/officeDocument/2006/relationships/hyperlink" Target="http://www.sec.gov/cgi-bin/browse-edgar?action=getcompany&amp;CIK=0001831198" TargetMode="External"/><Relationship Id="rId54"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2021-06-15T15:02:35Z</dcterms:created>
  <dcterms:modified xsi:type="dcterms:W3CDTF">2021-06-15T15:02:35Z</dcterms:modified>
</cp:coreProperties>
</file>