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California Resources Corporation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$0.01 par value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13057Q305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Patrice Walch-Watson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 Canada Pension Plan Investment Board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One Queen Street East, Suite 2500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Toronto, ON M5C 2W5 Canada</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(416) 868-4075</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1,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7" w:lineRule="exact"/>
        <w:rPr>
          <w:sz w:val="24"/>
          <w:szCs w:val="24"/>
          <w:color w:val="auto"/>
        </w:rPr>
      </w:pPr>
    </w:p>
    <w:p>
      <w:pPr>
        <w:ind w:right="200" w:firstLine="332"/>
        <w:spacing w:after="0" w:line="282" w:lineRule="auto"/>
        <w:tabs>
          <w:tab w:leader="none" w:pos="4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25"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1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1" w:lineRule="exact"/>
        <w:rPr>
          <w:sz w:val="20"/>
          <w:szCs w:val="20"/>
          <w:color w:val="auto"/>
        </w:rPr>
      </w:pPr>
    </w:p>
    <w:p>
      <w:pPr>
        <w:ind w:left="1340" w:hanging="882"/>
        <w:spacing w:after="0"/>
        <w:tabs>
          <w:tab w:leader="none" w:pos="1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40" w:type="dxa"/>
            <w:vAlign w:val="bottom"/>
            <w:tcBorders>
              <w:top w:val="single" w:sz="8" w:color="auto"/>
            </w:tcBorders>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620" w:type="dxa"/>
            <w:vAlign w:val="bottom"/>
            <w:tcBorders>
              <w:top w:val="single" w:sz="8" w:color="auto"/>
            </w:tcBorders>
          </w:tcPr>
          <w:p>
            <w:pPr>
              <w:ind w:left="4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top w:val="single" w:sz="8" w:color="auto"/>
            </w:tcBorders>
          </w:tcPr>
          <w:p>
            <w:pPr>
              <w:ind w:left="246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9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80" w:type="dxa"/>
            <w:vAlign w:val="bottom"/>
          </w:tcPr>
          <w:p>
            <w:pPr>
              <w:ind w:left="24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97" w:lineRule="exact"/>
        <w:rPr>
          <w:sz w:val="20"/>
          <w:szCs w:val="20"/>
          <w:color w:val="auto"/>
        </w:rPr>
      </w:pPr>
    </w:p>
    <w:p>
      <w:pPr>
        <w:ind w:left="1340" w:hanging="882"/>
        <w:spacing w:after="0"/>
        <w:tabs>
          <w:tab w:leader="none" w:pos="1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882"/>
        <w:spacing w:after="0"/>
        <w:tabs>
          <w:tab w:leader="none" w:pos="1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882"/>
        <w:spacing w:after="0" w:line="207" w:lineRule="exact"/>
        <w:tabs>
          <w:tab w:leader="none" w:pos="1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9" w:lineRule="exact"/>
        <w:rPr>
          <w:sz w:val="20"/>
          <w:szCs w:val="20"/>
          <w:color w:val="auto"/>
        </w:rPr>
      </w:pPr>
    </w:p>
    <w:p>
      <w:pPr>
        <w:ind w:left="1340" w:hanging="882"/>
        <w:spacing w:after="0"/>
        <w:tabs>
          <w:tab w:leader="none" w:pos="1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4160" w:hanging="1017"/>
        <w:spacing w:after="0"/>
        <w:tabs>
          <w:tab w:leader="none" w:pos="41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700" w:type="dxa"/>
            <w:vAlign w:val="bottom"/>
          </w:tcPr>
          <w:p>
            <w:pPr>
              <w:spacing w:after="0"/>
              <w:rPr>
                <w:sz w:val="18"/>
                <w:szCs w:val="18"/>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10,506,895</w:t>
            </w:r>
          </w:p>
        </w:tc>
        <w:tc>
          <w:tcPr>
            <w:tcW w:w="0" w:type="dxa"/>
            <w:vAlign w:val="bottom"/>
          </w:tcPr>
          <w:p>
            <w:pPr>
              <w:spacing w:after="0"/>
              <w:rPr>
                <w:sz w:val="1"/>
                <w:szCs w:val="1"/>
                <w:color w:val="auto"/>
              </w:rPr>
            </w:pPr>
          </w:p>
        </w:tc>
      </w:tr>
      <w:tr>
        <w:trPr>
          <w:trHeight w:val="198"/>
        </w:trPr>
        <w:tc>
          <w:tcPr>
            <w:tcW w:w="2300" w:type="dxa"/>
            <w:vAlign w:val="bottom"/>
          </w:tcPr>
          <w:p>
            <w:pPr>
              <w:jc w:val="center"/>
              <w:ind w:right="6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700" w:type="dxa"/>
            <w:vAlign w:val="bottom"/>
          </w:tcPr>
          <w:p>
            <w:pPr>
              <w:spacing w:after="0"/>
              <w:rPr>
                <w:sz w:val="18"/>
                <w:szCs w:val="18"/>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70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10,506,895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882"/>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10,506,895</w:t>
      </w:r>
    </w:p>
    <w:p>
      <w:pPr>
        <w:spacing w:after="0" w:line="31" w:lineRule="exact"/>
        <w:rPr>
          <w:rFonts w:ascii="Times New Roman" w:cs="Times New Roman" w:eastAsia="Times New Roman" w:hAnsi="Times New Roman"/>
          <w:sz w:val="18"/>
          <w:szCs w:val="18"/>
          <w:b w:val="1"/>
          <w:bCs w:val="1"/>
          <w:color w:val="auto"/>
        </w:rPr>
      </w:pPr>
    </w:p>
    <w:p>
      <w:pPr>
        <w:ind w:left="1340" w:hanging="882"/>
        <w:spacing w:after="0" w:line="207" w:lineRule="exact"/>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68" w:lineRule="exact"/>
        <w:rPr>
          <w:rFonts w:ascii="Times New Roman" w:cs="Times New Roman" w:eastAsia="Times New Roman" w:hAnsi="Times New Roman"/>
          <w:sz w:val="18"/>
          <w:szCs w:val="18"/>
          <w:b w:val="1"/>
          <w:bCs w:val="1"/>
          <w:color w:val="auto"/>
        </w:rPr>
      </w:pPr>
    </w:p>
    <w:p>
      <w:pPr>
        <w:ind w:left="1340" w:hanging="882"/>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11.8%</w:t>
      </w:r>
    </w:p>
    <w:p>
      <w:pPr>
        <w:spacing w:after="0" w:line="31" w:lineRule="exact"/>
        <w:rPr>
          <w:rFonts w:ascii="Times New Roman" w:cs="Times New Roman" w:eastAsia="Times New Roman" w:hAnsi="Times New Roman"/>
          <w:sz w:val="18"/>
          <w:szCs w:val="18"/>
          <w:b w:val="1"/>
          <w:bCs w:val="1"/>
          <w:color w:val="auto"/>
        </w:rPr>
      </w:pPr>
    </w:p>
    <w:p>
      <w:pPr>
        <w:ind w:left="1340" w:hanging="882"/>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-1188085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2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1" w:lineRule="exact"/>
        <w:rPr>
          <w:sz w:val="20"/>
          <w:szCs w:val="20"/>
          <w:color w:val="auto"/>
        </w:rPr>
      </w:pPr>
    </w:p>
    <w:p>
      <w:pPr>
        <w:ind w:left="1340" w:hanging="882"/>
        <w:spacing w:after="0"/>
        <w:tabs>
          <w:tab w:leader="none" w:pos="1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(5),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40" w:type="dxa"/>
            <w:vAlign w:val="bottom"/>
            <w:tcBorders>
              <w:top w:val="single" w:sz="8" w:color="auto"/>
            </w:tcBorders>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620" w:type="dxa"/>
            <w:vAlign w:val="bottom"/>
            <w:tcBorders>
              <w:top w:val="single" w:sz="8" w:color="auto"/>
            </w:tcBorders>
          </w:tcPr>
          <w:p>
            <w:pPr>
              <w:ind w:left="4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top w:val="single" w:sz="8" w:color="auto"/>
            </w:tcBorders>
          </w:tcPr>
          <w:p>
            <w:pPr>
              <w:ind w:left="246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9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80" w:type="dxa"/>
            <w:vAlign w:val="bottom"/>
          </w:tcPr>
          <w:p>
            <w:pPr>
              <w:ind w:left="24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97" w:lineRule="exact"/>
        <w:rPr>
          <w:sz w:val="20"/>
          <w:szCs w:val="20"/>
          <w:color w:val="auto"/>
        </w:rPr>
      </w:pPr>
    </w:p>
    <w:p>
      <w:pPr>
        <w:ind w:left="1340" w:hanging="882"/>
        <w:spacing w:after="0"/>
        <w:tabs>
          <w:tab w:leader="none" w:pos="1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882"/>
        <w:spacing w:after="0"/>
        <w:tabs>
          <w:tab w:leader="none" w:pos="1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882"/>
        <w:spacing w:after="0" w:line="207" w:lineRule="exact"/>
        <w:tabs>
          <w:tab w:leader="none" w:pos="1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9" w:lineRule="exact"/>
        <w:rPr>
          <w:sz w:val="20"/>
          <w:szCs w:val="20"/>
          <w:color w:val="auto"/>
        </w:rPr>
      </w:pPr>
    </w:p>
    <w:p>
      <w:pPr>
        <w:ind w:left="1340" w:hanging="882"/>
        <w:spacing w:after="0"/>
        <w:tabs>
          <w:tab w:leader="none" w:pos="1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4160" w:hanging="1017"/>
        <w:spacing w:after="0"/>
        <w:tabs>
          <w:tab w:leader="none" w:pos="41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700" w:type="dxa"/>
            <w:vAlign w:val="bottom"/>
          </w:tcPr>
          <w:p>
            <w:pPr>
              <w:spacing w:after="0"/>
              <w:rPr>
                <w:sz w:val="18"/>
                <w:szCs w:val="18"/>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10,506,895</w:t>
            </w:r>
          </w:p>
        </w:tc>
        <w:tc>
          <w:tcPr>
            <w:tcW w:w="0" w:type="dxa"/>
            <w:vAlign w:val="bottom"/>
          </w:tcPr>
          <w:p>
            <w:pPr>
              <w:spacing w:after="0"/>
              <w:rPr>
                <w:sz w:val="1"/>
                <w:szCs w:val="1"/>
                <w:color w:val="auto"/>
              </w:rPr>
            </w:pPr>
          </w:p>
        </w:tc>
      </w:tr>
      <w:tr>
        <w:trPr>
          <w:trHeight w:val="198"/>
        </w:trPr>
        <w:tc>
          <w:tcPr>
            <w:tcW w:w="2300" w:type="dxa"/>
            <w:vAlign w:val="bottom"/>
          </w:tcPr>
          <w:p>
            <w:pPr>
              <w:jc w:val="center"/>
              <w:ind w:right="6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700" w:type="dxa"/>
            <w:vAlign w:val="bottom"/>
          </w:tcPr>
          <w:p>
            <w:pPr>
              <w:spacing w:after="0"/>
              <w:rPr>
                <w:sz w:val="18"/>
                <w:szCs w:val="18"/>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70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10,506,895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882"/>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10,506,895</w:t>
      </w:r>
    </w:p>
    <w:p>
      <w:pPr>
        <w:spacing w:after="0" w:line="31" w:lineRule="exact"/>
        <w:rPr>
          <w:rFonts w:ascii="Times New Roman" w:cs="Times New Roman" w:eastAsia="Times New Roman" w:hAnsi="Times New Roman"/>
          <w:sz w:val="18"/>
          <w:szCs w:val="18"/>
          <w:b w:val="1"/>
          <w:bCs w:val="1"/>
          <w:color w:val="auto"/>
        </w:rPr>
      </w:pPr>
    </w:p>
    <w:p>
      <w:pPr>
        <w:ind w:left="1340" w:hanging="882"/>
        <w:spacing w:after="0" w:line="207" w:lineRule="exact"/>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68" w:lineRule="exact"/>
        <w:rPr>
          <w:rFonts w:ascii="Times New Roman" w:cs="Times New Roman" w:eastAsia="Times New Roman" w:hAnsi="Times New Roman"/>
          <w:sz w:val="18"/>
          <w:szCs w:val="18"/>
          <w:b w:val="1"/>
          <w:bCs w:val="1"/>
          <w:color w:val="auto"/>
        </w:rPr>
      </w:pPr>
    </w:p>
    <w:p>
      <w:pPr>
        <w:ind w:left="1340" w:hanging="882"/>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11.8%</w:t>
      </w:r>
    </w:p>
    <w:p>
      <w:pPr>
        <w:spacing w:after="0" w:line="31" w:lineRule="exact"/>
        <w:rPr>
          <w:rFonts w:ascii="Times New Roman" w:cs="Times New Roman" w:eastAsia="Times New Roman" w:hAnsi="Times New Roman"/>
          <w:sz w:val="18"/>
          <w:szCs w:val="18"/>
          <w:b w:val="1"/>
          <w:bCs w:val="1"/>
          <w:color w:val="auto"/>
        </w:rPr>
      </w:pPr>
    </w:p>
    <w:p>
      <w:pPr>
        <w:ind w:left="1340" w:hanging="882"/>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-1188085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3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1" w:lineRule="exact"/>
        <w:rPr>
          <w:sz w:val="20"/>
          <w:szCs w:val="20"/>
          <w:color w:val="auto"/>
        </w:rPr>
      </w:pPr>
    </w:p>
    <w:p>
      <w:pPr>
        <w:ind w:left="1340" w:hanging="882"/>
        <w:spacing w:after="0"/>
        <w:tabs>
          <w:tab w:leader="none" w:pos="1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(6),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40" w:type="dxa"/>
            <w:vAlign w:val="bottom"/>
            <w:tcBorders>
              <w:top w:val="single" w:sz="8" w:color="auto"/>
            </w:tcBorders>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620" w:type="dxa"/>
            <w:vAlign w:val="bottom"/>
            <w:tcBorders>
              <w:top w:val="single" w:sz="8" w:color="auto"/>
            </w:tcBorders>
          </w:tcPr>
          <w:p>
            <w:pPr>
              <w:ind w:left="4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top w:val="single" w:sz="8" w:color="auto"/>
            </w:tcBorders>
          </w:tcPr>
          <w:p>
            <w:pPr>
              <w:ind w:left="246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9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80" w:type="dxa"/>
            <w:vAlign w:val="bottom"/>
          </w:tcPr>
          <w:p>
            <w:pPr>
              <w:ind w:left="24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97" w:lineRule="exact"/>
        <w:rPr>
          <w:sz w:val="20"/>
          <w:szCs w:val="20"/>
          <w:color w:val="auto"/>
        </w:rPr>
      </w:pPr>
    </w:p>
    <w:p>
      <w:pPr>
        <w:ind w:left="1340" w:hanging="882"/>
        <w:spacing w:after="0"/>
        <w:tabs>
          <w:tab w:leader="none" w:pos="1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340" w:hanging="882"/>
        <w:spacing w:after="0"/>
        <w:tabs>
          <w:tab w:leader="none" w:pos="1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882"/>
        <w:spacing w:after="0" w:line="207" w:lineRule="exact"/>
        <w:tabs>
          <w:tab w:leader="none" w:pos="1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9" w:lineRule="exact"/>
        <w:rPr>
          <w:sz w:val="20"/>
          <w:szCs w:val="20"/>
          <w:color w:val="auto"/>
        </w:rPr>
      </w:pPr>
    </w:p>
    <w:p>
      <w:pPr>
        <w:ind w:left="1340" w:hanging="882"/>
        <w:spacing w:after="0"/>
        <w:tabs>
          <w:tab w:leader="none" w:pos="1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4160" w:hanging="1017"/>
        <w:spacing w:after="0"/>
        <w:tabs>
          <w:tab w:leader="none" w:pos="41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700" w:type="dxa"/>
            <w:vAlign w:val="bottom"/>
          </w:tcPr>
          <w:p>
            <w:pPr>
              <w:spacing w:after="0"/>
              <w:rPr>
                <w:sz w:val="18"/>
                <w:szCs w:val="18"/>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10,506,895</w:t>
            </w:r>
          </w:p>
        </w:tc>
        <w:tc>
          <w:tcPr>
            <w:tcW w:w="0" w:type="dxa"/>
            <w:vAlign w:val="bottom"/>
          </w:tcPr>
          <w:p>
            <w:pPr>
              <w:spacing w:after="0"/>
              <w:rPr>
                <w:sz w:val="1"/>
                <w:szCs w:val="1"/>
                <w:color w:val="auto"/>
              </w:rPr>
            </w:pPr>
          </w:p>
        </w:tc>
      </w:tr>
      <w:tr>
        <w:trPr>
          <w:trHeight w:val="198"/>
        </w:trPr>
        <w:tc>
          <w:tcPr>
            <w:tcW w:w="2300" w:type="dxa"/>
            <w:vAlign w:val="bottom"/>
          </w:tcPr>
          <w:p>
            <w:pPr>
              <w:jc w:val="center"/>
              <w:ind w:right="6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70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700" w:type="dxa"/>
            <w:vAlign w:val="bottom"/>
          </w:tcPr>
          <w:p>
            <w:pPr>
              <w:spacing w:after="0"/>
              <w:rPr>
                <w:sz w:val="18"/>
                <w:szCs w:val="18"/>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70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10,506,895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40" w:hanging="882"/>
        <w:spacing w:after="0"/>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10,506,895</w:t>
      </w:r>
    </w:p>
    <w:p>
      <w:pPr>
        <w:spacing w:after="0" w:line="31" w:lineRule="exact"/>
        <w:rPr>
          <w:rFonts w:ascii="Times New Roman" w:cs="Times New Roman" w:eastAsia="Times New Roman" w:hAnsi="Times New Roman"/>
          <w:sz w:val="18"/>
          <w:szCs w:val="18"/>
          <w:b w:val="1"/>
          <w:bCs w:val="1"/>
          <w:color w:val="auto"/>
        </w:rPr>
      </w:pPr>
    </w:p>
    <w:p>
      <w:pPr>
        <w:ind w:left="1340" w:hanging="882"/>
        <w:spacing w:after="0" w:line="207" w:lineRule="exact"/>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68" w:lineRule="exact"/>
        <w:rPr>
          <w:rFonts w:ascii="Times New Roman" w:cs="Times New Roman" w:eastAsia="Times New Roman" w:hAnsi="Times New Roman"/>
          <w:sz w:val="18"/>
          <w:szCs w:val="18"/>
          <w:b w:val="1"/>
          <w:bCs w:val="1"/>
          <w:color w:val="auto"/>
        </w:rPr>
      </w:pPr>
    </w:p>
    <w:p>
      <w:pPr>
        <w:ind w:left="1340" w:hanging="882"/>
        <w:spacing w:after="0"/>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11.8%</w:t>
      </w:r>
    </w:p>
    <w:p>
      <w:pPr>
        <w:spacing w:after="0" w:line="31" w:lineRule="exact"/>
        <w:rPr>
          <w:rFonts w:ascii="Times New Roman" w:cs="Times New Roman" w:eastAsia="Times New Roman" w:hAnsi="Times New Roman"/>
          <w:sz w:val="18"/>
          <w:szCs w:val="18"/>
          <w:b w:val="1"/>
          <w:bCs w:val="1"/>
          <w:color w:val="auto"/>
        </w:rPr>
      </w:pPr>
    </w:p>
    <w:p>
      <w:pPr>
        <w:ind w:left="1340" w:hanging="882"/>
        <w:spacing w:after="0"/>
        <w:tabs>
          <w:tab w:leader="none" w:pos="1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-1188085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4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common stock, par value $0.01 per share (the “Common Stock”), of California Resources Corporation, a Delaware corporation (the “Issuer”), whose principal executive office is located at 1 World Trade Center, Suite 1500, Long Beach, California 90831.</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Schedule 13D is being filed by the following persons (each a “Reporting Person” and, collectively, the “Reporting Persons”):</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Pension Plan Investment Board (“CPPIB”)</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 Investment Board Private Holdings (5), Inc. (“CPPIB-PH(5)”)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 Investment Board Private Holdings (6), Inc. (“CPPIB-PH(6)”)</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Each of the Reporting Persons are organized under the laws of Canada. The business address for each of the Reporting Persons is c/o CPPIB, One Queen Street East, Suite 2500, Toronto, ON M5C 2W5 Canada. The principal business of CPPIB is investing the Canada Pension Plan fund. The principal business of each of CPPIB-PH(5) and CPPIB-PH(6) is an investment holding company.</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directors and the executive officers of the Reporting Persons (the “Covered Persons”) are set forth in Schedule I hereto, including each Covered Person’s present principal occupation, which is incorporated herein by reference.</w:t>
      </w:r>
    </w:p>
    <w:p>
      <w:pPr>
        <w:spacing w:after="0" w:line="162" w:lineRule="exact"/>
        <w:rPr>
          <w:sz w:val="20"/>
          <w:szCs w:val="20"/>
          <w:color w:val="auto"/>
        </w:rPr>
      </w:pPr>
    </w:p>
    <w:p>
      <w:pPr>
        <w:ind w:right="440" w:firstLine="648"/>
        <w:spacing w:after="0" w:line="281" w:lineRule="auto"/>
        <w:rPr>
          <w:sz w:val="20"/>
          <w:szCs w:val="20"/>
          <w:color w:val="auto"/>
        </w:rPr>
      </w:pPr>
      <w:r>
        <w:rPr>
          <w:rFonts w:ascii="Times New Roman" w:cs="Times New Roman" w:eastAsia="Times New Roman" w:hAnsi="Times New Roman"/>
          <w:sz w:val="17"/>
          <w:szCs w:val="17"/>
          <w:color w:val="auto"/>
        </w:rPr>
        <w:t>During the last five years, none of the Reporting Persons or, to the Reporting Persons’ knowledge, any of the Covered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Item 4 below summarizes certain provisions of the Merger Agreement (as defined below) that pertain to the securities acquired by the Reporting Persons. Pursuant to the Merger Agreement, upon consummation of the Business Combination (as defined below), the Reporting Person received 10,506,895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5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February 7, 2024, an Agreement and Plan of Merger (the “Merger Agreement”) was entered into among the Issuer, Petra Merger Sub I, LLC (“IKAV Merger Sub”), Petra Merger Sub C, LLC (“CPP Merger Sub”), Petra Merger Sub O, LLC (“COI Merger Sub”), Petra Merger Sub O2, LLC (“COI Merger Sub 2”), Petra Merger Sub O3, LLC (“COI Merger Sub 3”), each a Delaware limited liability company and a wholly owned direct subsidiary of the Issuer (collectively, “Initial Merger Subs”), Petra Merger Sub S, LLC, a Delaware limited liability company and a wholly owned direct subsidiary of the Issuer (“Subsequent Merger Sub” and, together with Initial Merger Subs, collectively, “Merger Subs”), IKAV Impact USA Inc., a Delaware corporation (“IKAV Blocker”), CPPIB Vedder US Holdings LLC, a Delaware limited liability company (“CPP Blocker”), Opps Xb Aera E CTB, LLC, a Delaware limited liability company (“IKAV Co-Invest Blocker 1”), Opps XI Aera E CTB, LLC, a Delaware limited liability company (“IKAV Co-Invest Blocker 2” and together with IKAV Co-Invest Blocker 1, collectively, the “IKAV Co-Invest Blockers”), Green Gate COI, LLC, a Delaware limited liability company (“IKAV Co-Invest”, and together with IKAV Blocker, CPP Blocker, IKAV Co-Invest Blocker 1 and IKAV Co-Invest Blocker 2, collectively, the “Companies”), and solely for purposes of the Member Provisions (as defined in the Merger Agreement), IKAV Impact S.à r.l., Simlog Inc., and IKAV Energy Inc. (collectively, with IKAV S.à r.l. and Simlog Inc., “IKAV Member”), CPPIB-PH(6), OCM Opps Xb AIF Holdings (Delaware), L.P., a Delaware limited partnership (“IKAV Co-Invest Blocker 1 Member A”), Oaktree Huntington Investment Fund II AIF (Delaware), L.P. – Class C, a Delaware limited partnership (“IKAV Co-Invest Blocker 1 Member B” and together with IKAV Co-Invest Blocker 1 Member A, collectively, the “IKAV Co-Invest Blocker 1 Members”), OCM Opps XI AIV Holdings (Delaware), L.P., a Delaware limited partnership (“IKAV Co-Invest Blocker 2 Member”), and OCM Aera E Holdings, LLC, a Delaware limited liability company (“IKAV Co-Invest Member”) (collectively, the “Members”).</w:t>
      </w:r>
    </w:p>
    <w:p>
      <w:pPr>
        <w:spacing w:after="0" w:line="1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on July 1, 2024 (the “Closing Date”), IKAV Merger Sub merged with and into IKAV Blocker, with IKAV Blocker surviving the merger as a wholly owned subsidiary of the Issuer, CPP Merger Sub merged with and into CPP Blocker, with CPP Blocker surviving the merger as a wholly owned subsidiary of the Issuer, COI Merger Sub merged with and into IKAV Co-Invest, with IKAV Co-Invest surviving the merger as a wholly owned subsidiary of the Issuer, COI Merger Sub 2 merged with and into IKAV Co-Invest Blocker 1, with IKAV Co-Invest Blocker 1 surviving the merger as a wholly owned subsidiary of the Issuer, and COI Merger Sub 3 merged with and into IKAV Co-Invest Blocker 2, with IKAV Co-Invest Blocker 2 surviving the merger as a wholly owned subsidiary of the Issuer (collectively, the “Initial Mergers”), and, immediately following the Initial Mergers, each surviving company or corporation (as applicable) of the Initial Mergers merged with and into Subsequent Merger Sub (the “Subsequent Merger”), with Subsequent Merger Sub surviving the Subsequent Merger as a wholly owned subsidiary of the Issuer (collectively, with the other transactions contemplated by the Merger Agreement,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6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the effective time of the Initial Mergers (the “Effective Time”), 100% of the equity interests of the Companies issued and outstanding immediately prior to the Effective Time were converted into the right to receive from the Issuer (i), in the aggregate, 21,170,357 shares of Common Stock (such aggregate amount of Common Stock, the “Aggregate Consideration”), and (ii) in respect of any dividend or other distribution declared by the Issuer and having a record date from and including January 1, 2024, to and including the closing date, (A) if paid by the Issuer to its stockholders prior to the Effective Time, that aggregate number of fully-paid and nonassessable shares of Common Stock equal to the quotient of the portion of such dividend or other distribution to which the Members would have been entitled if the Aggregate Consideration had been issued and outstanding on January 1, 2024, divided by $51.96 (the “Agreed VWAP”), and (B) if unpaid at the Effective Time, the right to receive, when paid by the Issuer to its other stockholders, that aggregate number of fully-paid and nonassessable shares of Common Stock equal to the quotient of the portion of such dividend or other distribution to which the Members would have been entitled if the Aggregate Consideration had been issued and outstanding on January 1, 2024, divided by the Agreed VWAP.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the Issuer and the Members (including CPPIB-PH(6)) entered into a Registration Rights Agreement (the “Registration Rights Agreement”), pursuant to which, among other things and subject to certain restrictions, the Issuer agreed, on the terms set forth therein, to file with the U.S. Securities and Exchange Commission (the “SEC”) a registration statement registering for resale the shares of Common Stock issued pursuant to the Merger Agreement, and to conduct certain underwritten offerings upon the request of holders of Registrable Securities (as defined therein). The Registration Rights Agreement also provides holders of Registrable Securities (as defined therein) with certain customary piggyback registration rights.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each Member party thereto agreed to certain lock-up provisions whereby such Member and any of its permitted transferees holding shares of Common Stock agreed not to transfer (1) any shares of Common Stock issued to such Member to any non-affiliate until six months after the Effective Time; (2) more than one-third of the shares of Common Stock issued to such Member to any non-affiliate until twelve months after the Effective Time; and (3) more than two-thirds of the shares of Common Stock issued to such Member to any non-affiliate until eighteen months after the Effective Time. Transfers from each Member to its general partners, limited partners, members or stockholders, or to any corporation, partnership, limited liability company, investment fund or other entity that controls, is controlled by or is under common control with such Member are exempted from the lock-up restrictions, except for such Member’s portfolio companies. In addition, the lock-up provisions permit transfers pursuant to liquidations, stock exchanges, share repurchase programs and certain hedging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7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Agreement</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the Issuer entered into Stockholder Agreements with IKAV Member and CPPIB-PH(6) (each, a “Stockholder Agreement”). Pursuant to each Stockholder Agreement, the Issuer appointed to the Board one person designated by IKAV Member and one person designated by CPPIB-PH(6) (each such person, and any other person designated for nomination by each Member pursuant to the Stockholder Agreement, a “Stockholder Nominee”). For so long as each of IKAV Member and CPPIB-PH(6) together with its respective affiliates, beneficially owns, in the aggregate, 5% or more of the issued and outstanding shares of Common Stock, such Member will have the right to nominate one Stockholder Nominee for appointment to the Board. Such Stockholder Nominee must, in the good faith determination of the Board or the Board’s governance committee, (i) be suitable to serve on the Board in accordance with customary standards of suitability for directors of NYSE-listed companies, (ii) not be prohibited from serving as a director pursuant to any rule or regulation of the SEC or any national securities exchange on which the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 Further, such Stockholder Nominee will have the ability to attend all Board committee meetings as a non-voting observer, so long as such Stockholder Nominee remains an independent director under applicable stock exchange rules and such attendance would not be expected to have an adverse effect on the Company.</w:t>
      </w:r>
    </w:p>
    <w:p>
      <w:pPr>
        <w:spacing w:after="0" w:line="19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Each Stockholder Agreement will contain certain standstill provisions which, among other things, will prohibit the Member party thereto and certain of its affiliates (such affiliates, the “Restricted Parties”) from (i) acquiring additional shares of Common Stock that would result in such Member and its Restricted Parties beneficially owning more than 14.9% of outstanding Common Stock; (ii) soliciting proxies or influencing any voting of Common Stock or the Issuer’s other equity securities; (iii) directly or indirectly proposing transactions that would be reasonably likely to result in a change of control of the Issuer; (iv) seeking additional representation on the Board, or otherwise seeking to control the management of the Issuer and its controlled affiliates, including through the removal of directors; (v) forming, joining or knowingly encouraging or engaging in discussions regarding the formation of a “group” within the meaning of Section 13(d)(3) of the Exchange Act with non-affiliates with respect to the Issuer’s securities; and (vi) publicly disclosing any intention, plan, or arrangement inconsistent with any of the foregoing. The standstill provisions will commence at the Effective Time and continue until</w:t>
      </w:r>
    </w:p>
    <w:p>
      <w:pPr>
        <w:spacing w:after="0" w:line="1" w:lineRule="exact"/>
        <w:rPr>
          <w:sz w:val="20"/>
          <w:szCs w:val="20"/>
          <w:color w:val="auto"/>
        </w:rPr>
      </w:pPr>
    </w:p>
    <w:p>
      <w:pPr>
        <w:ind w:right="120" w:firstLine="8"/>
        <w:spacing w:after="0" w:line="255"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together with its respective Restricted Parties, ceases to beneficially own, in the aggregate, 7.5% or more of outstanding Common Stock and (b) no Stockholder Nominee designated by such Member is serving on the Board and such Member either is no longer entitled to, or has irrevocably waived, the right to appoint a Stockholder Nominee.</w:t>
      </w:r>
    </w:p>
    <w:p>
      <w:pPr>
        <w:spacing w:after="0" w:line="18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Merger Agreement, Registration Rights Agreement and the Stockholder Agreement do not purport to be complete and are qualified in their entirety by reference to the full text of such agreements, each of which is attached as an exhibit to this Schedule 13D and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may participate in and influence the affairs of the Issuer through its rights under the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8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each Reporting Person intends to monitor and evaluate its investment on an ongoing basis and expect regularly to review and consider alternative ways of maximizing its return on such investment. Subject to market conditions, valuations, regulatory approvals and any other approvals, each Reporting Person may acquire additional securities of the Issuer or dispose of any securities of the Issuer in open market transactions, privately negotiated transactions, or otherwise.</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exploring ways to maximize the return on its investment, and as part of its ongoing investment activities, each Reporting Person may engage in discussions with representatives of the Issuer and/or with other holders of the Issuer’s securities and, from time to time, suggest or take a position regarding, or participate in, a variety of matters relating to the Issuer, which may include, among other things, the Issuer’s operations, management, corporate governance, capital structure or its control, strategic alternatives and direction. To facilitate its consideration of such matters, each Reporting Person may retain consultants and advisors and may enter into discussions with potential sources of capital and other third parties. Each Reporting Person may exchange information with any such persons pursuant to appropriate confidentiality or similar agreements. Each Reporting Person will likely take some or all of the foregoing steps at preliminary stages in their consideration of various possible courses of action, before forming any intention to pursue any particular plan or direction.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Reporting Person may, at any time, and from time to time, (i) review or reconsider its position and/or change its purpose and/or formulate plans or proposals with respect thereto and (ii) consider or propose one or more of the actions described in subparagraphs (a) – (j) of Item 4 of Schedule 13D.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Common Stock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89,192,640 shares of Common Stock outstanding following completion of the Business Combination, as disclosed by the Issuer to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13D</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320" w:type="dxa"/>
            <w:vAlign w:val="bottom"/>
            <w:tcBorders>
              <w:top w:val="single" w:sz="8" w:color="auto"/>
              <w:right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Page 9 of 17 pages</w:t>
            </w:r>
          </w:p>
        </w:tc>
        <w:tc>
          <w:tcPr>
            <w:tcW w:w="0" w:type="dxa"/>
            <w:vAlign w:val="bottom"/>
          </w:tcPr>
          <w:p>
            <w:pPr>
              <w:spacing w:after="0"/>
              <w:rPr>
                <w:sz w:val="1"/>
                <w:szCs w:val="1"/>
                <w:color w:val="auto"/>
              </w:rPr>
            </w:pP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3"/>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or to</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dispose or</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dispose or</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direct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 or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 direct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Reporting Person</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Pension Plan Investment Board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10,506,895</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0</w:t>
            </w: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10,506,895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10,506,895</w:t>
            </w: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CPP Investment Board Private Holdings (5), Inc.</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10,506,895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10,506,895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10,506,895</w:t>
            </w:r>
          </w:p>
        </w:tc>
        <w:tc>
          <w:tcPr>
            <w:tcW w:w="0" w:type="dxa"/>
            <w:vAlign w:val="bottom"/>
          </w:tcPr>
          <w:p>
            <w:pPr>
              <w:spacing w:after="0"/>
              <w:rPr>
                <w:sz w:val="1"/>
                <w:szCs w:val="1"/>
                <w:color w:val="auto"/>
              </w:rPr>
            </w:pPr>
          </w:p>
        </w:tc>
      </w:tr>
      <w:tr>
        <w:trPr>
          <w:trHeight w:val="216"/>
        </w:trPr>
        <w:tc>
          <w:tcPr>
            <w:tcW w:w="38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CPP Investment Board Private Holdings (6), Inc.</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10,506,895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10,506,895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10,506,895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reported herein consist of 10,506,895 shares of Common Stock held of record by CPPIB-PH(6).</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CPPIB-PH(6) is the wholly owned subsidiary of CPPIB-PH(5), which is the wholly owned subsidiary of CPPIB. As such, each of the foregoing entities may be deemed to share beneficial ownership of the securities held of record by CPPIB-PH(6).</w:t>
      </w:r>
    </w:p>
    <w:p>
      <w:pPr>
        <w:spacing w:after="0" w:line="162" w:lineRule="exact"/>
        <w:rPr>
          <w:sz w:val="20"/>
          <w:szCs w:val="20"/>
          <w:color w:val="auto"/>
        </w:rPr>
      </w:pPr>
    </w:p>
    <w:p>
      <w:pPr>
        <w:ind w:left="660" w:right="52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during the past 60 days, none of the Reporting Persons or, to the Reporting Persons’ knowledge, the Covered Persons have effected any transactions with respect to the Common Stock.</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           No person (other than the Reporting Persons) is known to the Reporting Persons or, to the Reporting Persons’ knowledge, the Covered Persons, to have the right to receive or the power to direct the receipt of dividends from, or the proceeds from the sale of, any shares of Common Stock covered by this Schedule 13D.</w:t>
      </w:r>
    </w:p>
    <w:p>
      <w:pPr>
        <w:spacing w:after="0" w:line="17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Item 4 above summarizes certain provisions of the Merger Agreement, the Registration Rights Agreement and the Stockholder Agreement and is incorporated herein by reference. The Merger Agreement, Registration Rights Agreement and Stockholder Agreement are attached as exhibits to this Schedule 13D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8"/>
        </w:trPr>
        <w:tc>
          <w:tcPr>
            <w:tcW w:w="120" w:type="dxa"/>
            <w:vAlign w:val="bottom"/>
            <w:tcBorders>
              <w:top w:val="single" w:sz="8" w:color="auto"/>
              <w:left w:val="single" w:sz="8" w:color="auto"/>
            </w:tcBorders>
          </w:tcPr>
          <w:p>
            <w:pPr>
              <w:spacing w:after="0"/>
              <w:rPr>
                <w:sz w:val="22"/>
                <w:szCs w:val="22"/>
                <w:color w:val="auto"/>
              </w:rPr>
            </w:pPr>
          </w:p>
        </w:tc>
        <w:tc>
          <w:tcPr>
            <w:tcW w:w="372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1640" w:type="dxa"/>
            <w:vAlign w:val="bottom"/>
            <w:tcBorders>
              <w:top w:val="single" w:sz="8" w:color="auto"/>
            </w:tcBorders>
          </w:tcPr>
          <w:p>
            <w:pPr>
              <w:spacing w:after="0"/>
              <w:rPr>
                <w:sz w:val="22"/>
                <w:szCs w:val="22"/>
                <w:color w:val="auto"/>
              </w:rPr>
            </w:pPr>
          </w:p>
        </w:tc>
        <w:tc>
          <w:tcPr>
            <w:tcW w:w="2060" w:type="dxa"/>
            <w:vAlign w:val="bottom"/>
            <w:tcBorders>
              <w:top w:val="single" w:sz="8" w:color="auto"/>
              <w:right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color w:val="auto"/>
              </w:rPr>
              <w:t>Page 10 of 17 pages</w:t>
            </w:r>
          </w:p>
        </w:tc>
      </w:tr>
      <w:tr>
        <w:trPr>
          <w:trHeight w:val="25"/>
        </w:trPr>
        <w:tc>
          <w:tcPr>
            <w:tcW w:w="12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42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30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2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68"/>
        </w:trPr>
        <w:tc>
          <w:tcPr>
            <w:tcW w:w="8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r>
      <w:tr>
        <w:trPr>
          <w:trHeight w:val="238"/>
        </w:trPr>
        <w:tc>
          <w:tcPr>
            <w:tcW w:w="8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6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r>
      <w:tr>
        <w:trPr>
          <w:trHeight w:val="250"/>
        </w:trPr>
        <w:tc>
          <w:tcPr>
            <w:tcW w:w="8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1</w:t>
            </w:r>
          </w:p>
        </w:tc>
        <w:tc>
          <w:tcPr>
            <w:tcW w:w="56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Joint Filing Agreement.</w:t>
            </w:r>
          </w:p>
        </w:tc>
        <w:tc>
          <w:tcPr>
            <w:tcW w:w="2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102"/>
        </w:trPr>
        <w:tc>
          <w:tcPr>
            <w:tcW w:w="120" w:type="dxa"/>
            <w:vAlign w:val="bottom"/>
            <w:tcBorders>
              <w:top w:val="single" w:sz="8" w:color="0000EE"/>
              <w:left w:val="single" w:sz="8" w:color="auto"/>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40" w:type="dxa"/>
            <w:vAlign w:val="bottom"/>
            <w:tcBorders>
              <w:top w:val="single" w:sz="8" w:color="0000EE"/>
              <w:bottom w:val="single" w:sz="8" w:color="auto"/>
            </w:tcBorders>
          </w:tcPr>
          <w:p>
            <w:pPr>
              <w:spacing w:after="0"/>
              <w:rPr>
                <w:sz w:val="8"/>
                <w:szCs w:val="8"/>
                <w:color w:val="auto"/>
              </w:rPr>
            </w:pPr>
          </w:p>
        </w:tc>
        <w:tc>
          <w:tcPr>
            <w:tcW w:w="360" w:type="dxa"/>
            <w:vAlign w:val="bottom"/>
            <w:tcBorders>
              <w:top w:val="single" w:sz="8" w:color="0000EE"/>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r>
      <w:tr>
        <w:trPr>
          <w:trHeight w:val="250"/>
        </w:trPr>
        <w:tc>
          <w:tcPr>
            <w:tcW w:w="120" w:type="dxa"/>
            <w:vAlign w:val="bottom"/>
            <w:tcBorders>
              <w:left w:val="single" w:sz="8" w:color="auto"/>
            </w:tcBorders>
          </w:tcPr>
          <w:p>
            <w:pPr>
              <w:ind w:left="20"/>
              <w:spacing w:after="0"/>
              <w:rPr>
                <w:rFonts w:ascii="Times New Roman" w:cs="Times New Roman" w:eastAsia="Times New Roman" w:hAnsi="Times New Roman"/>
                <w:sz w:val="18"/>
                <w:szCs w:val="18"/>
                <w:color w:val="0000EE"/>
                <w:w w:val="88"/>
              </w:rPr>
            </w:pPr>
            <w:hyperlink r:id="rId56">
              <w:r>
                <w:rPr>
                  <w:rFonts w:ascii="Times New Roman" w:cs="Times New Roman" w:eastAsia="Times New Roman" w:hAnsi="Times New Roman"/>
                  <w:sz w:val="18"/>
                  <w:szCs w:val="18"/>
                  <w:color w:val="0000EE"/>
                  <w:w w:val="88"/>
                </w:rPr>
                <w:t>2</w:t>
              </w:r>
            </w:hyperlink>
          </w:p>
        </w:tc>
        <w:tc>
          <w:tcPr>
            <w:tcW w:w="70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gridSpan w:val="12"/>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Agreement and Plan of Merger, dated February 7, 2024, among California Resources Corporation, a Delaware corporation, and the</w:t>
              </w:r>
            </w:hyperlink>
          </w:p>
        </w:tc>
      </w:tr>
      <w:tr>
        <w:trPr>
          <w:trHeight w:val="196"/>
        </w:trPr>
        <w:tc>
          <w:tcPr>
            <w:tcW w:w="120" w:type="dxa"/>
            <w:vAlign w:val="bottom"/>
            <w:tcBorders>
              <w:top w:val="single" w:sz="8" w:color="0000EE"/>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Members thereto (incorporated by reference to Exhibit 10.1 to the Issuer’s Current Report on Form 8-K filed with the SEC on</w:t>
              </w:r>
            </w:hyperlink>
          </w:p>
        </w:tc>
        <w:tc>
          <w:tcPr>
            <w:tcW w:w="320" w:type="dxa"/>
            <w:vAlign w:val="bottom"/>
            <w:tcBorders>
              <w:right w:val="single" w:sz="8" w:color="auto"/>
            </w:tcBorders>
            <w:gridSpan w:val="2"/>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February 9, 2024).</w:t>
              </w:r>
            </w:hyperlink>
          </w:p>
        </w:tc>
        <w:tc>
          <w:tcPr>
            <w:tcW w:w="21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40" w:type="dxa"/>
            <w:vAlign w:val="bottom"/>
            <w:tcBorders>
              <w:top w:val="single" w:sz="8" w:color="0000EE"/>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r>
      <w:tr>
        <w:trPr>
          <w:trHeight w:val="250"/>
        </w:trPr>
        <w:tc>
          <w:tcPr>
            <w:tcW w:w="120" w:type="dxa"/>
            <w:vAlign w:val="bottom"/>
            <w:tcBorders>
              <w:left w:val="single" w:sz="8" w:color="auto"/>
            </w:tcBorders>
          </w:tcPr>
          <w:p>
            <w:pPr>
              <w:ind w:left="20"/>
              <w:spacing w:after="0"/>
              <w:rPr>
                <w:rFonts w:ascii="Times New Roman" w:cs="Times New Roman" w:eastAsia="Times New Roman" w:hAnsi="Times New Roman"/>
                <w:sz w:val="18"/>
                <w:szCs w:val="18"/>
                <w:color w:val="0000EE"/>
                <w:w w:val="88"/>
              </w:rPr>
            </w:pPr>
            <w:hyperlink r:id="rId57">
              <w:r>
                <w:rPr>
                  <w:rFonts w:ascii="Times New Roman" w:cs="Times New Roman" w:eastAsia="Times New Roman" w:hAnsi="Times New Roman"/>
                  <w:sz w:val="18"/>
                  <w:szCs w:val="18"/>
                  <w:color w:val="0000EE"/>
                  <w:w w:val="88"/>
                </w:rPr>
                <w:t>3</w:t>
              </w:r>
            </w:hyperlink>
          </w:p>
        </w:tc>
        <w:tc>
          <w:tcPr>
            <w:tcW w:w="70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gridSpan w:val="12"/>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Registration Rights Agreement, by and between California Resources Corporation and the Sellers, dated as of July 1, 2024</w:t>
              </w:r>
            </w:hyperlink>
          </w:p>
        </w:tc>
      </w:tr>
      <w:tr>
        <w:trPr>
          <w:trHeight w:val="20"/>
        </w:trPr>
        <w:tc>
          <w:tcPr>
            <w:tcW w:w="120" w:type="dxa"/>
            <w:vAlign w:val="bottom"/>
            <w:tcBorders>
              <w:left w:val="single" w:sz="8" w:color="auto"/>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7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10.1 to the Issuer’s Current Report on Form 8-K filed with the SEC on July 1, 2024).</w:t>
              </w:r>
            </w:hyperlink>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40" w:type="dxa"/>
            <w:vAlign w:val="bottom"/>
            <w:tcBorders>
              <w:top w:val="single" w:sz="8" w:color="0000EE"/>
              <w:bottom w:val="single" w:sz="8" w:color="auto"/>
            </w:tcBorders>
          </w:tcPr>
          <w:p>
            <w:pPr>
              <w:spacing w:after="0"/>
              <w:rPr>
                <w:sz w:val="8"/>
                <w:szCs w:val="8"/>
                <w:color w:val="auto"/>
              </w:rPr>
            </w:pPr>
          </w:p>
        </w:tc>
        <w:tc>
          <w:tcPr>
            <w:tcW w:w="360" w:type="dxa"/>
            <w:vAlign w:val="bottom"/>
            <w:tcBorders>
              <w:top w:val="single" w:sz="8" w:color="0000EE"/>
              <w:bottom w:val="single" w:sz="8" w:color="auto"/>
            </w:tcBorders>
          </w:tcPr>
          <w:p>
            <w:pPr>
              <w:spacing w:after="0"/>
              <w:rPr>
                <w:sz w:val="8"/>
                <w:szCs w:val="8"/>
                <w:color w:val="auto"/>
              </w:rPr>
            </w:pPr>
          </w:p>
        </w:tc>
        <w:tc>
          <w:tcPr>
            <w:tcW w:w="640" w:type="dxa"/>
            <w:vAlign w:val="bottom"/>
            <w:tcBorders>
              <w:top w:val="single" w:sz="8" w:color="0000EE"/>
              <w:bottom w:val="single" w:sz="8" w:color="auto"/>
            </w:tcBorders>
          </w:tcPr>
          <w:p>
            <w:pPr>
              <w:spacing w:after="0"/>
              <w:rPr>
                <w:sz w:val="8"/>
                <w:szCs w:val="8"/>
                <w:color w:val="auto"/>
              </w:rPr>
            </w:pPr>
          </w:p>
        </w:tc>
        <w:tc>
          <w:tcPr>
            <w:tcW w:w="2140" w:type="dxa"/>
            <w:vAlign w:val="bottom"/>
            <w:tcBorders>
              <w:top w:val="single" w:sz="8" w:color="0000EE"/>
              <w:bottom w:val="single" w:sz="8" w:color="auto"/>
            </w:tcBorders>
          </w:tcPr>
          <w:p>
            <w:pPr>
              <w:spacing w:after="0"/>
              <w:rPr>
                <w:sz w:val="8"/>
                <w:szCs w:val="8"/>
                <w:color w:val="auto"/>
              </w:rPr>
            </w:pPr>
          </w:p>
        </w:tc>
        <w:tc>
          <w:tcPr>
            <w:tcW w:w="1560" w:type="dxa"/>
            <w:vAlign w:val="bottom"/>
            <w:tcBorders>
              <w:top w:val="single" w:sz="8" w:color="0000EE"/>
              <w:bottom w:val="single" w:sz="8" w:color="auto"/>
            </w:tcBorders>
          </w:tcPr>
          <w:p>
            <w:pPr>
              <w:spacing w:after="0"/>
              <w:rPr>
                <w:sz w:val="8"/>
                <w:szCs w:val="8"/>
                <w:color w:val="auto"/>
              </w:rPr>
            </w:pPr>
          </w:p>
        </w:tc>
        <w:tc>
          <w:tcPr>
            <w:tcW w:w="1640" w:type="dxa"/>
            <w:vAlign w:val="bottom"/>
            <w:tcBorders>
              <w:top w:val="single" w:sz="8" w:color="0000EE"/>
              <w:bottom w:val="single" w:sz="8" w:color="auto"/>
            </w:tcBorders>
          </w:tcPr>
          <w:p>
            <w:pPr>
              <w:spacing w:after="0"/>
              <w:rPr>
                <w:sz w:val="8"/>
                <w:szCs w:val="8"/>
                <w:color w:val="auto"/>
              </w:rPr>
            </w:pPr>
          </w:p>
        </w:tc>
        <w:tc>
          <w:tcPr>
            <w:tcW w:w="1140" w:type="dxa"/>
            <w:vAlign w:val="bottom"/>
            <w:tcBorders>
              <w:top w:val="single" w:sz="8" w:color="0000EE"/>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r>
      <w:tr>
        <w:trPr>
          <w:trHeight w:val="250"/>
        </w:trPr>
        <w:tc>
          <w:tcPr>
            <w:tcW w:w="820" w:type="dxa"/>
            <w:vAlign w:val="bottom"/>
            <w:tcBorders>
              <w:left w:val="single" w:sz="8" w:color="auto"/>
            </w:tcBorders>
            <w:gridSpan w:val="2"/>
          </w:tcPr>
          <w:p>
            <w:pPr>
              <w:ind w:left="20"/>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4</w:t>
              </w:r>
            </w:hyperlink>
          </w:p>
        </w:tc>
        <w:tc>
          <w:tcPr>
            <w:tcW w:w="56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gridSpan w:val="12"/>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Stockholder Agreement, by and between California Resources Corporation and CPP Seller, dated as of July 1, 2024 (incorporated by</w:t>
              </w:r>
            </w:hyperlink>
          </w:p>
        </w:tc>
      </w:tr>
      <w:tr>
        <w:trPr>
          <w:trHeight w:val="196"/>
        </w:trPr>
        <w:tc>
          <w:tcPr>
            <w:tcW w:w="120" w:type="dxa"/>
            <w:vAlign w:val="bottom"/>
            <w:tcBorders>
              <w:top w:val="single" w:sz="8" w:color="0000EE"/>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reference to Exhibit 10.3 to the Issuer’s Current Report on Form 8-K filed with the SEC on July 1, 2024).</w:t>
              </w:r>
            </w:hyperlink>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r>
      <w:tr>
        <w:trPr>
          <w:trHeight w:val="250"/>
        </w:trPr>
        <w:tc>
          <w:tcPr>
            <w:tcW w:w="8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5</w:t>
            </w:r>
          </w:p>
        </w:tc>
        <w:tc>
          <w:tcPr>
            <w:tcW w:w="56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Power of Attorney for Canada Pension Plan Investment Board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102"/>
        </w:trPr>
        <w:tc>
          <w:tcPr>
            <w:tcW w:w="120" w:type="dxa"/>
            <w:vAlign w:val="bottom"/>
            <w:tcBorders>
              <w:top w:val="single" w:sz="8" w:color="0000EE"/>
              <w:left w:val="single" w:sz="8" w:color="auto"/>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40" w:type="dxa"/>
            <w:vAlign w:val="bottom"/>
            <w:tcBorders>
              <w:top w:val="single" w:sz="8" w:color="0000EE"/>
              <w:bottom w:val="single" w:sz="8" w:color="auto"/>
            </w:tcBorders>
          </w:tcPr>
          <w:p>
            <w:pPr>
              <w:spacing w:after="0"/>
              <w:rPr>
                <w:sz w:val="8"/>
                <w:szCs w:val="8"/>
                <w:color w:val="auto"/>
              </w:rPr>
            </w:pPr>
          </w:p>
        </w:tc>
        <w:tc>
          <w:tcPr>
            <w:tcW w:w="360" w:type="dxa"/>
            <w:vAlign w:val="bottom"/>
            <w:tcBorders>
              <w:top w:val="single" w:sz="8" w:color="0000EE"/>
              <w:bottom w:val="single" w:sz="8" w:color="auto"/>
            </w:tcBorders>
          </w:tcPr>
          <w:p>
            <w:pPr>
              <w:spacing w:after="0"/>
              <w:rPr>
                <w:sz w:val="8"/>
                <w:szCs w:val="8"/>
                <w:color w:val="auto"/>
              </w:rPr>
            </w:pPr>
          </w:p>
        </w:tc>
        <w:tc>
          <w:tcPr>
            <w:tcW w:w="640" w:type="dxa"/>
            <w:vAlign w:val="bottom"/>
            <w:tcBorders>
              <w:top w:val="single" w:sz="8" w:color="0000EE"/>
              <w:bottom w:val="single" w:sz="8" w:color="auto"/>
            </w:tcBorders>
          </w:tcPr>
          <w:p>
            <w:pPr>
              <w:spacing w:after="0"/>
              <w:rPr>
                <w:sz w:val="8"/>
                <w:szCs w:val="8"/>
                <w:color w:val="auto"/>
              </w:rPr>
            </w:pPr>
          </w:p>
        </w:tc>
        <w:tc>
          <w:tcPr>
            <w:tcW w:w="2140" w:type="dxa"/>
            <w:vAlign w:val="bottom"/>
            <w:tcBorders>
              <w:top w:val="single" w:sz="8" w:color="0000EE"/>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r>
      <w:tr>
        <w:trPr>
          <w:trHeight w:val="66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11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July 9,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Barry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Head of Legal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(5),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Barry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(6),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Barry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12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Officers of CPPIB</w:t>
      </w:r>
    </w:p>
    <w:p>
      <w:pPr>
        <w:spacing w:after="0" w:line="229"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name, present principal occupation or employment, business address and citizenship of each of the directors and executive officers of CPPIB are set forth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of CPPIB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Judith Athaide</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Corporate Executive, The Cogent Group Inc. Citizenship: Canada,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Chrominska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Connor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‘Mark’ Evans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Ashleigh Everett</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Corporate Executive, Royal Canadian Securities Limited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Tahira Hassan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 Pakistan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Nadir Mohamed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Montalbano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Perry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Phibbs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Australia, 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Boon Sim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States</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CPPIB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Graham</w:t>
      </w:r>
    </w:p>
    <w:p>
      <w:pPr>
        <w:spacing w:after="0" w:line="27"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President and Chief Executive Officer Citizenship: Canada,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Maximilian Biagosch</w:t>
      </w:r>
    </w:p>
    <w:p>
      <w:pPr>
        <w:spacing w:after="0" w:line="27"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Global Head of Real Assets &amp; Head of Europe Citizenship: Germany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Edwin D. Cass</w:t>
      </w:r>
    </w:p>
    <w:p>
      <w:pPr>
        <w:spacing w:after="0" w:line="27" w:lineRule="exact"/>
        <w:rPr>
          <w:sz w:val="20"/>
          <w:szCs w:val="20"/>
          <w:color w:val="auto"/>
        </w:rPr>
      </w:pPr>
    </w:p>
    <w:p>
      <w:pPr>
        <w:ind w:right="1440"/>
        <w:spacing w:after="0" w:line="260"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Investment Officer Citizenship: Canada</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Edgell</w:t>
      </w:r>
    </w:p>
    <w:p>
      <w:pPr>
        <w:spacing w:after="0" w:line="27"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Credit Investments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Fanjoy</w:t>
      </w:r>
    </w:p>
    <w:p>
      <w:pPr>
        <w:spacing w:after="0" w:line="27"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Financial Officer Citizenship: Canada, Croatia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Ieraci</w:t>
      </w:r>
    </w:p>
    <w:p>
      <w:pPr>
        <w:spacing w:after="0" w:line="27" w:lineRule="exact"/>
        <w:rPr>
          <w:sz w:val="20"/>
          <w:szCs w:val="20"/>
          <w:color w:val="auto"/>
        </w:rPr>
      </w:pPr>
    </w:p>
    <w:p>
      <w:pPr>
        <w:ind w:right="120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Active Equities and Investment Science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Manroop Jhooty</w:t>
      </w:r>
    </w:p>
    <w:p>
      <w:pPr>
        <w:spacing w:after="0" w:line="27"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Head of Total Fund Management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Suyi Kim</w:t>
      </w:r>
    </w:p>
    <w:p>
      <w:pPr>
        <w:spacing w:after="0" w:line="27"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Private Equity Citizenship: South Korea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 Leduc</w:t>
      </w:r>
    </w:p>
    <w:p>
      <w:pPr>
        <w:spacing w:after="0" w:line="27" w:lineRule="exact"/>
        <w:rPr>
          <w:sz w:val="20"/>
          <w:szCs w:val="20"/>
          <w:color w:val="auto"/>
        </w:rPr>
      </w:pPr>
    </w:p>
    <w:p>
      <w:pPr>
        <w:jc w:val="both"/>
        <w:ind w:right="144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Public Affairs and Communications Citizenship: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13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-137795</wp:posOffset>
            </wp:positionV>
            <wp:extent cx="23571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357120" cy="188595"/>
                    </a:xfrm>
                    <a:prstGeom prst="rect">
                      <a:avLst/>
                    </a:prstGeom>
                    <a:noFill/>
                  </pic:spPr>
                </pic:pic>
              </a:graphicData>
            </a:graphic>
          </wp:anchor>
        </w:drawing>
      </w:r>
    </w:p>
    <w:p>
      <w:pPr>
        <w:sectPr>
          <w:pgSz w:w="11900" w:h="16838" w:orient="portrait"/>
          <w:cols w:equalWidth="0" w:num="2">
            <w:col w:w="8960" w:space="720"/>
            <w:col w:w="1440"/>
          </w:cols>
          <w:pgMar w:left="320" w:top="903" w:right="45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14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Rubin</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One Fund Strategist Citizenship: Canada,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Priti Singh</w:t>
      </w:r>
    </w:p>
    <w:p>
      <w:pPr>
        <w:spacing w:after="0" w:line="27" w:lineRule="exact"/>
        <w:rPr>
          <w:sz w:val="20"/>
          <w:szCs w:val="20"/>
          <w:color w:val="auto"/>
        </w:rPr>
      </w:pPr>
    </w:p>
    <w:p>
      <w:pPr>
        <w:jc w:val="both"/>
        <w:ind w:right="366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Capital Markets and Factor Investing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Sullivan</w:t>
      </w:r>
    </w:p>
    <w:p>
      <w:pPr>
        <w:spacing w:after="0" w:line="27" w:lineRule="exact"/>
        <w:rPr>
          <w:sz w:val="20"/>
          <w:szCs w:val="20"/>
          <w:color w:val="auto"/>
        </w:rPr>
      </w:pPr>
    </w:p>
    <w:p>
      <w:pPr>
        <w:ind w:right="3720"/>
        <w:spacing w:after="0" w:line="260"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Talent Officer Citizenship: Canada</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Agus Tandiono</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Head of Asia Pacific &amp; Active Equities Asia Citizenship: Indonesia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Patrice Walch-Watson</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General Counsel &amp; Corporate Secretary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Kristen Walters</w:t>
      </w:r>
    </w:p>
    <w:p>
      <w:pPr>
        <w:spacing w:after="0" w:line="27" w:lineRule="exact"/>
        <w:rPr>
          <w:sz w:val="20"/>
          <w:szCs w:val="20"/>
          <w:color w:val="auto"/>
        </w:rPr>
      </w:pPr>
    </w:p>
    <w:p>
      <w:pPr>
        <w:ind w:right="3720"/>
        <w:spacing w:after="0" w:line="260"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Risk Officer Citizenship: United States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Webster</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Operating Officer Citizenship: United Kingdom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Officers of CPPIB-PH(5)</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name, present principal occupation or employment, business address and citizenship of each of the directors and executive officers of CPPIB-PH(5) are set forth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of CPPIB-PH(5)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Barry</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Managing Director, Head of Legal, Canada Pension Plan Investment Board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Head of Tax and Structure Management, Canada Pension Plan Investment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Kingdom,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15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CPPIB-PH(5)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Graham</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President and Chief Executive Officer, Canada Pension Plan Investment Board Citizenship: Canada,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Barry</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Managing Director, Head of Legal, Canada Pension Plan Investment Board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Head of Tax and Structure Management, Canada Pension Plan Investment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Kingdom, Australia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Savage</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Managing Director, Legal, Canada Pension Plan Investment Board Citizenship: Canada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Officers of CPPIB-PH(6)</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name, present principal occupation or employment, business address and citizenship of each of the directors and executive officers of CPPIB-PH(6) are set forth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of CPPIB-PH(6)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Barry</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Managing Director, Head of Legal, Canada Pension Plan Investment Board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Head of Tax and Structure Management, Canada Pension Plan Investment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Kingdom, Australia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CPPIB-PH(6)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Graham</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President and Chief Executive Officer, Canada Pension Plan Investment Board Citizenship: Canada,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Barry</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Managing Director, Head of Legal, Canada Pension Plan Investment Board Citizenship: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16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Managing Director, Head of Tax and Structure Management, Canada Pension Plan Investment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Kingdom, Australia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Savage</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Managing Director, Legal, Canada Pension Plan Investment Board Citizenship: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17 of 17 pages</w:t>
            </w:r>
          </w:p>
        </w:tc>
      </w:tr>
      <w:tr>
        <w:trPr>
          <w:trHeight w:val="25"/>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July 9,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Barry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Head of Legal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(5),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Barry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(6),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Barry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the undersigned</w:t>
      </w:r>
      <w:r>
        <w:rPr>
          <w:rFonts w:ascii="Times New Roman" w:cs="Times New Roman" w:eastAsia="Times New Roman" w:hAnsi="Times New Roman"/>
          <w:sz w:val="18"/>
          <w:szCs w:val="18"/>
          <w:b w:val="1"/>
          <w:bCs w:val="1"/>
          <w:color w:val="auto"/>
        </w:rPr>
        <w:t xml:space="preserve"> ("CPPIB") </w:t>
      </w:r>
      <w:r>
        <w:rPr>
          <w:rFonts w:ascii="Times New Roman" w:cs="Times New Roman" w:eastAsia="Times New Roman" w:hAnsi="Times New Roman"/>
          <w:sz w:val="18"/>
          <w:szCs w:val="18"/>
          <w:color w:val="auto"/>
        </w:rPr>
        <w:t>does hereby make, constitute and appoint</w:t>
      </w:r>
      <w:r>
        <w:rPr>
          <w:rFonts w:ascii="Times New Roman" w:cs="Times New Roman" w:eastAsia="Times New Roman" w:hAnsi="Times New Roman"/>
          <w:sz w:val="18"/>
          <w:szCs w:val="18"/>
          <w:b w:val="1"/>
          <w:bCs w:val="1"/>
          <w:color w:val="auto"/>
        </w:rPr>
        <w:t xml:space="preserve"> KATHRYN DANIELS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RYAN BARRY, </w:t>
      </w:r>
      <w:r>
        <w:rPr>
          <w:rFonts w:ascii="Times New Roman" w:cs="Times New Roman" w:eastAsia="Times New Roman" w:hAnsi="Times New Roman"/>
          <w:sz w:val="18"/>
          <w:szCs w:val="18"/>
          <w:color w:val="auto"/>
        </w:rPr>
        <w:t>as its true and lawful attorneys-in-fact (the</w:t>
      </w:r>
      <w:r>
        <w:rPr>
          <w:rFonts w:ascii="Times New Roman" w:cs="Times New Roman" w:eastAsia="Times New Roman" w:hAnsi="Times New Roman"/>
          <w:sz w:val="18"/>
          <w:szCs w:val="18"/>
          <w:b w:val="1"/>
          <w:bCs w:val="1"/>
          <w:color w:val="auto"/>
        </w:rPr>
        <w:t xml:space="preserve"> "Attorneys-In-Fact" </w:t>
      </w:r>
      <w:r>
        <w:rPr>
          <w:rFonts w:ascii="Times New Roman" w:cs="Times New Roman" w:eastAsia="Times New Roman" w:hAnsi="Times New Roman"/>
          <w:sz w:val="18"/>
          <w:szCs w:val="18"/>
          <w:color w:val="auto"/>
        </w:rPr>
        <w:t>and each an</w:t>
      </w:r>
      <w:r>
        <w:rPr>
          <w:rFonts w:ascii="Times New Roman" w:cs="Times New Roman" w:eastAsia="Times New Roman" w:hAnsi="Times New Roman"/>
          <w:sz w:val="18"/>
          <w:szCs w:val="18"/>
          <w:b w:val="1"/>
          <w:bCs w:val="1"/>
          <w:color w:val="auto"/>
        </w:rPr>
        <w:t xml:space="preserve"> "Attorney-In-Fact"), </w:t>
      </w:r>
      <w:r>
        <w:rPr>
          <w:rFonts w:ascii="Times New Roman" w:cs="Times New Roman" w:eastAsia="Times New Roman" w:hAnsi="Times New Roman"/>
          <w:sz w:val="18"/>
          <w:szCs w:val="18"/>
          <w:color w:val="auto"/>
        </w:rPr>
        <w:t>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in its name and on its behalf, any and all filings, be they written or oral, required to be made by CPPIB with respect to securities which may be deemed to be beneficially owned by CPPIB under:</w:t>
      </w:r>
    </w:p>
    <w:p>
      <w:pPr>
        <w:spacing w:after="0" w:line="176" w:lineRule="exact"/>
        <w:rPr>
          <w:sz w:val="20"/>
          <w:szCs w:val="20"/>
          <w:color w:val="auto"/>
        </w:rPr>
      </w:pPr>
    </w:p>
    <w:p>
      <w:pPr>
        <w:ind w:left="1280" w:right="20" w:hanging="300"/>
        <w:spacing w:after="0" w:line="286" w:lineRule="auto"/>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including those filings required to be submitted on Schedule 13D or Schedule 13G or any amendments thereto </w:t>
      </w:r>
      <w:r>
        <w:rPr>
          <w:rFonts w:ascii="Times New Roman" w:cs="Times New Roman" w:eastAsia="Times New Roman" w:hAnsi="Times New Roman"/>
          <w:sz w:val="18"/>
          <w:szCs w:val="18"/>
          <w:b w:val="1"/>
          <w:bCs w:val="1"/>
          <w:color w:val="auto"/>
        </w:rPr>
        <w:t>("Exchange Act Filings"),</w:t>
      </w:r>
    </w:p>
    <w:p>
      <w:pPr>
        <w:spacing w:after="0" w:line="15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CPPIB which an Attorney-In-Fact determines may be necessary or desirable to complete and execute any such Exchange Act Filings, and timely file such document with the Securities and Exchange Commission; and</w:t>
      </w:r>
    </w:p>
    <w:p>
      <w:pPr>
        <w:spacing w:after="0" w:line="161" w:lineRule="exact"/>
        <w:rPr>
          <w:rFonts w:ascii="Times New Roman" w:cs="Times New Roman" w:eastAsia="Times New Roman" w:hAnsi="Times New Roman"/>
          <w:sz w:val="18"/>
          <w:szCs w:val="18"/>
          <w:color w:val="auto"/>
        </w:rPr>
      </w:pPr>
    </w:p>
    <w:p>
      <w:pPr>
        <w:jc w:val="both"/>
        <w:ind w:left="1300" w:hanging="334"/>
        <w:spacing w:after="0" w:line="261"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an Attorney-In-Fact, may be of benefit to, in the best interest of, or legally required by, CPPIB (it being understood that the documents executed by an Attorney-In-Fact on behalf of CPPIB pursuant to this Power of Attorney shall be in such form and shall contain such terms and conditions as such Attorney-In-Fact may approve in the Attorney-In-Fact's sole discretion).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CPPIB hereby grants to each Attorney-In-Fact full power and authority to do and perform any and every act and thing whatsoever requisite, necessary, or proper to be done in the exercise of any of the rights and powers herein granted, as fully to all intents and purposes as CPPIB might or could do if personally present, with full power of substitution or revocation, hereby ratifying and confirming all that each Attorney-In-Fact, or each Attorney-In-Fact's substitute or substitutes, shall lawfully do or cause to be done by virtue of this Power of Attorney and the rights and powers herein granted.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either revoked in writing by CPPIB or until such time as the person to whom power of attorney has been hereby granted ceases to be an employee of CPPIB.</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·Power of Attorney may be executed in any number of counterparts all of which taken together shall constitute one and the same instrument.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 EREOF, </w:t>
      </w:r>
      <w:r>
        <w:rPr>
          <w:rFonts w:ascii="Times New Roman" w:cs="Times New Roman" w:eastAsia="Times New Roman" w:hAnsi="Times New Roman"/>
          <w:sz w:val="18"/>
          <w:szCs w:val="18"/>
          <w:color w:val="auto"/>
        </w:rPr>
        <w:t>the undersigned hereby executes this Power of Attorney effective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PENSlON PLAN INVESTMENT BOARD</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Patrice Walch-Watson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Patrice Walch-Watson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Senior Managing Director, General Counsel &amp;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3"/>
      <w:numFmt w:val="bullet"/>
      <w:start w:val="1"/>
    </w:lvl>
  </w:abstractNum>
  <w:abstractNum w:abstractNumId="3">
    <w:nsid w:val="41A7C4C9"/>
    <w:multiLevelType w:val="hybridMultilevel"/>
    <w:lvl w:ilvl="0">
      <w:lvlJc w:val="left"/>
      <w:lvlText w:val="4"/>
      <w:numFmt w:val="bullet"/>
      <w:start w:val="1"/>
    </w:lvl>
  </w:abstractNum>
  <w:abstractNum w:abstractNumId="4">
    <w:nsid w:val="6B68079A"/>
    <w:multiLevelType w:val="hybridMultilevel"/>
    <w:lvl w:ilvl="0">
      <w:lvlJc w:val="left"/>
      <w:lvlText w:val="5"/>
      <w:numFmt w:val="bullet"/>
      <w:start w:val="1"/>
    </w:lvl>
  </w:abstractNum>
  <w:abstractNum w:abstractNumId="5">
    <w:nsid w:val="4E6AFB66"/>
    <w:multiLevelType w:val="hybridMultilevel"/>
    <w:lvl w:ilvl="0">
      <w:lvlJc w:val="left"/>
      <w:lvlText w:val="6"/>
      <w:numFmt w:val="bullet"/>
      <w:start w:val="1"/>
    </w:lvl>
  </w:abstractNum>
  <w:abstractNum w:abstractNumId="6">
    <w:nsid w:val="25E45D32"/>
    <w:multiLevelType w:val="hybridMultilevel"/>
    <w:lvl w:ilvl="0">
      <w:lvlJc w:val="left"/>
      <w:lvlText w:val="7"/>
      <w:numFmt w:val="bullet"/>
      <w:start w:val="1"/>
    </w:lvl>
  </w:abstractNum>
  <w:abstractNum w:abstractNumId="7">
    <w:nsid w:val="519B500D"/>
    <w:multiLevelType w:val="hybridMultilevel"/>
    <w:lvl w:ilvl="0">
      <w:lvlJc w:val="left"/>
      <w:lvlText w:val="%1"/>
      <w:numFmt w:val="decimal"/>
      <w:start w:val="1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5"/>
      <w:numFmt w:val="bullet"/>
      <w:start w:val="1"/>
    </w:lvl>
  </w:abstractNum>
  <w:abstractNum w:abstractNumId="12">
    <w:nsid w:val="62BBD95A"/>
    <w:multiLevelType w:val="hybridMultilevel"/>
    <w:lvl w:ilvl="0">
      <w:lvlJc w:val="left"/>
      <w:lvlText w:val="6"/>
      <w:numFmt w:val="bullet"/>
      <w:start w:val="1"/>
    </w:lvl>
  </w:abstractNum>
  <w:abstractNum w:abstractNumId="13">
    <w:nsid w:val="436C6125"/>
    <w:multiLevelType w:val="hybridMultilevel"/>
    <w:lvl w:ilvl="0">
      <w:lvlJc w:val="left"/>
      <w:lvlText w:val="7"/>
      <w:numFmt w:val="bullet"/>
      <w:start w:val="1"/>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bullet"/>
      <w:start w:val="1"/>
    </w:lvl>
  </w:abstractNum>
  <w:abstractNum w:abstractNumId="16">
    <w:nsid w:val="721DA317"/>
    <w:multiLevelType w:val="hybridMultilevel"/>
    <w:lvl w:ilvl="0">
      <w:lvlJc w:val="left"/>
      <w:lvlText w:val="3"/>
      <w:numFmt w:val="bullet"/>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5"/>
      <w:numFmt w:val="bullet"/>
      <w:start w:val="1"/>
    </w:lvl>
  </w:abstractNum>
  <w:abstractNum w:abstractNumId="19">
    <w:nsid w:val="6763845E"/>
    <w:multiLevelType w:val="hybridMultilevel"/>
    <w:lvl w:ilvl="0">
      <w:lvlJc w:val="left"/>
      <w:lvlText w:val="6"/>
      <w:numFmt w:val="bullet"/>
      <w:start w:val="1"/>
    </w:lvl>
  </w:abstractNum>
  <w:abstractNum w:abstractNumId="20">
    <w:nsid w:val="75A2A8D4"/>
    <w:multiLevelType w:val="hybridMultilevel"/>
    <w:lvl w:ilvl="0">
      <w:lvlJc w:val="left"/>
      <w:lvlText w:val="7"/>
      <w:numFmt w:val="bullet"/>
      <w:start w:val="1"/>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3"/>
    </w:lvl>
  </w:abstractNum>
  <w:abstractNum w:abstractNumId="25">
    <w:nsid w:val="189A769B"/>
    <w:multiLevelType w:val="hybridMultilevel"/>
    <w:lvl w:ilvl="0">
      <w:lvlJc w:val="left"/>
      <w:lvlText w:val="(%1)"/>
      <w:numFmt w:val="lowerLetter"/>
      <w:start w:val="5"/>
    </w:lvl>
  </w:abstractNum>
  <w:abstractNum w:abstractNumId="26">
    <w:nsid w:val="54E49EB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56" Type="http://schemas.openxmlformats.org/officeDocument/2006/relationships/hyperlink" Target="https://www.sec.gov/Archives/edgar/data/1609253/000160925324000020/a20240207exhibit101.htm" TargetMode="External"/><Relationship Id="rId57" Type="http://schemas.openxmlformats.org/officeDocument/2006/relationships/hyperlink" Target="https://www.sec.gov/Archives/edgar/data/1609253/000119312524173343/d845209dex101.htm" TargetMode="External"/><Relationship Id="rId58" Type="http://schemas.openxmlformats.org/officeDocument/2006/relationships/hyperlink" Target="https://www.sec.gov/Archives/edgar/data/1609253/000119312524173343/d84520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2024-07-09T15:44:07Z</dcterms:created>
  <dcterms:modified xsi:type="dcterms:W3CDTF">2024-07-09T15:44:07Z</dcterms:modified>
</cp:coreProperties>
</file>