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3056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05689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Leon Francisco</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40" w:type="dxa"/>
            <w:vAlign w:val="bottom"/>
          </w:tcPr>
          <w:p>
            <w:pPr>
              <w:spacing w:after="0"/>
              <w:rPr>
                <w:sz w:val="20"/>
                <w:szCs w:val="20"/>
                <w:color w:val="auto"/>
              </w:rPr>
            </w:pPr>
            <w:r>
              <w:rPr>
                <w:rFonts w:ascii="Arial" w:cs="Arial" w:eastAsia="Arial" w:hAnsi="Arial"/>
                <w:sz w:val="9"/>
                <w:szCs w:val="9"/>
                <w:color w:val="auto"/>
              </w:rPr>
              <w:t>(Last)</w:t>
            </w:r>
          </w:p>
        </w:tc>
        <w:tc>
          <w:tcPr>
            <w:tcW w:w="840" w:type="dxa"/>
            <w:vAlign w:val="bottom"/>
          </w:tcPr>
          <w:p>
            <w:pPr>
              <w:ind w:left="1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9200 OAKDALE AVENUE</w:t>
            </w: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SUITE 900</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980" w:type="dxa"/>
            <w:vAlign w:val="bottom"/>
            <w:gridSpan w:val="2"/>
          </w:tcPr>
          <w:p>
            <w:pPr>
              <w:spacing w:after="0"/>
              <w:rPr>
                <w:sz w:val="20"/>
                <w:szCs w:val="20"/>
                <w:color w:val="auto"/>
              </w:rPr>
            </w:pPr>
            <w:r>
              <w:rPr>
                <w:rFonts w:ascii="Arial" w:cs="Arial" w:eastAsia="Arial" w:hAnsi="Arial"/>
                <w:sz w:val="9"/>
                <w:szCs w:val="9"/>
                <w:color w:val="auto"/>
              </w:rPr>
              <w:t>(Street)</w:t>
            </w: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color w:val="0000FF"/>
              </w:rPr>
              <w:t>LOS ANGELES</w:t>
            </w:r>
          </w:p>
        </w:tc>
        <w:tc>
          <w:tcPr>
            <w:tcW w:w="840" w:type="dxa"/>
            <w:vAlign w:val="bottom"/>
          </w:tcPr>
          <w:p>
            <w:pPr>
              <w:ind w:left="160"/>
              <w:spacing w:after="0"/>
              <w:rPr>
                <w:sz w:val="20"/>
                <w:szCs w:val="20"/>
                <w:color w:val="auto"/>
              </w:rPr>
            </w:pPr>
            <w:r>
              <w:rPr>
                <w:rFonts w:ascii="Arial" w:cs="Arial" w:eastAsia="Arial" w:hAnsi="Arial"/>
                <w:sz w:val="12"/>
                <w:szCs w:val="12"/>
                <w:color w:val="0000FF"/>
              </w:rPr>
              <w:t>CA</w:t>
            </w:r>
          </w:p>
        </w:tc>
        <w:tc>
          <w:tcPr>
            <w:tcW w:w="1500" w:type="dxa"/>
            <w:vAlign w:val="bottom"/>
          </w:tcPr>
          <w:p>
            <w:pPr>
              <w:ind w:left="420"/>
              <w:spacing w:after="0"/>
              <w:rPr>
                <w:sz w:val="20"/>
                <w:szCs w:val="20"/>
                <w:color w:val="auto"/>
              </w:rPr>
            </w:pPr>
            <w:r>
              <w:rPr>
                <w:rFonts w:ascii="Arial" w:cs="Arial" w:eastAsia="Arial" w:hAnsi="Arial"/>
                <w:sz w:val="12"/>
                <w:szCs w:val="12"/>
                <w:color w:val="0000FF"/>
              </w:rPr>
              <w:t>91311</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02/22/2018</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2000" w:type="dxa"/>
            <w:vAlign w:val="bottom"/>
            <w:gridSpan w:val="3"/>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5"/>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2C2C2C"/>
            </w:tcBorders>
          </w:tcPr>
          <w:p>
            <w:pPr>
              <w:spacing w:after="0"/>
              <w:rPr>
                <w:sz w:val="23"/>
                <w:szCs w:val="23"/>
                <w:color w:val="auto"/>
              </w:rPr>
            </w:pPr>
          </w:p>
        </w:tc>
        <w:tc>
          <w:tcPr>
            <w:tcW w:w="100" w:type="dxa"/>
            <w:vAlign w:val="bottom"/>
            <w:tcBorders>
              <w:top w:val="single" w:sz="8" w:color="0000EE"/>
              <w:bottom w:val="single" w:sz="8" w:color="2C2C2C"/>
            </w:tcBorders>
          </w:tcPr>
          <w:p>
            <w:pPr>
              <w:spacing w:after="0"/>
              <w:rPr>
                <w:sz w:val="23"/>
                <w:szCs w:val="23"/>
                <w:color w:val="auto"/>
              </w:rPr>
            </w:pPr>
          </w:p>
        </w:tc>
        <w:tc>
          <w:tcPr>
            <w:tcW w:w="340" w:type="dxa"/>
            <w:vAlign w:val="bottom"/>
            <w:tcBorders>
              <w:top w:val="single" w:sz="8" w:color="0000EE"/>
              <w:bottom w:val="single" w:sz="8" w:color="2C2C2C"/>
            </w:tcBorders>
          </w:tcPr>
          <w:p>
            <w:pPr>
              <w:spacing w:after="0"/>
              <w:rPr>
                <w:sz w:val="23"/>
                <w:szCs w:val="23"/>
                <w:color w:val="auto"/>
              </w:rPr>
            </w:pPr>
          </w:p>
        </w:tc>
        <w:tc>
          <w:tcPr>
            <w:tcW w:w="1100" w:type="dxa"/>
            <w:vAlign w:val="bottom"/>
            <w:tcBorders>
              <w:top w:val="single" w:sz="8" w:color="0000EE"/>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3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2000" w:type="dxa"/>
            <w:vAlign w:val="bottom"/>
            <w:gridSpan w:val="3"/>
          </w:tcPr>
          <w:p>
            <w:pPr>
              <w:spacing w:after="0"/>
              <w:rPr>
                <w:sz w:val="20"/>
                <w:szCs w:val="20"/>
                <w:color w:val="auto"/>
              </w:rPr>
            </w:pPr>
            <w:r>
              <w:rPr>
                <w:rFonts w:ascii="Arial" w:cs="Arial" w:eastAsia="Arial" w:hAnsi="Arial"/>
                <w:sz w:val="9"/>
                <w:szCs w:val="9"/>
                <w:color w:val="auto"/>
              </w:rPr>
              <w:t>Relationship of Reporting Person(s) to Issuer</w:t>
            </w:r>
          </w:p>
        </w:tc>
        <w:tc>
          <w:tcPr>
            <w:tcW w:w="13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140" w:type="dxa"/>
            <w:vAlign w:val="bottom"/>
            <w:gridSpan w:val="5"/>
          </w:tcPr>
          <w:p>
            <w:pPr>
              <w:ind w:left="40"/>
              <w:spacing w:after="0"/>
              <w:rPr>
                <w:sz w:val="20"/>
                <w:szCs w:val="20"/>
                <w:color w:val="auto"/>
              </w:rPr>
            </w:pPr>
            <w:r>
              <w:rPr>
                <w:rFonts w:ascii="Arial" w:cs="Arial" w:eastAsia="Arial" w:hAnsi="Arial"/>
                <w:sz w:val="9"/>
                <w:szCs w:val="9"/>
                <w:color w:val="auto"/>
              </w:rPr>
              <w:t>(Check all applicable)</w:t>
            </w: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60" w:type="dxa"/>
            <w:vAlign w:val="bottom"/>
            <w:gridSpan w:val="2"/>
          </w:tcPr>
          <w:p>
            <w:pPr>
              <w:ind w:left="100"/>
              <w:spacing w:after="0" w:line="80" w:lineRule="exact"/>
              <w:rPr>
                <w:sz w:val="20"/>
                <w:szCs w:val="20"/>
                <w:color w:val="auto"/>
              </w:rPr>
            </w:pPr>
            <w:r>
              <w:rPr>
                <w:rFonts w:ascii="Arial" w:cs="Arial" w:eastAsia="Arial" w:hAnsi="Arial"/>
                <w:sz w:val="9"/>
                <w:szCs w:val="9"/>
                <w:color w:val="auto"/>
              </w:rPr>
              <w:t>Director</w:t>
            </w:r>
          </w:p>
        </w:tc>
        <w:tc>
          <w:tcPr>
            <w:tcW w:w="1300" w:type="dxa"/>
            <w:vAlign w:val="bottom"/>
          </w:tcPr>
          <w:p>
            <w:pPr>
              <w:ind w:left="100"/>
              <w:spacing w:after="0" w:line="80" w:lineRule="exact"/>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0000FF"/>
              </w:rPr>
              <w:t>X</w:t>
            </w:r>
          </w:p>
        </w:tc>
        <w:tc>
          <w:tcPr>
            <w:tcW w:w="1660" w:type="dxa"/>
            <w:vAlign w:val="bottom"/>
            <w:gridSpan w:val="2"/>
          </w:tcPr>
          <w:p>
            <w:pPr>
              <w:ind w:left="100"/>
              <w:spacing w:after="0"/>
              <w:rPr>
                <w:sz w:val="20"/>
                <w:szCs w:val="20"/>
                <w:color w:val="auto"/>
              </w:rPr>
            </w:pPr>
            <w:r>
              <w:rPr>
                <w:rFonts w:ascii="Arial" w:cs="Arial" w:eastAsia="Arial" w:hAnsi="Arial"/>
                <w:sz w:val="9"/>
                <w:szCs w:val="9"/>
                <w:color w:val="auto"/>
              </w:rPr>
              <w:t>Officer (give title below)</w:t>
            </w:r>
          </w:p>
        </w:tc>
        <w:tc>
          <w:tcPr>
            <w:tcW w:w="1300" w:type="dxa"/>
            <w:vAlign w:val="bottom"/>
          </w:tcPr>
          <w:p>
            <w:pPr>
              <w:ind w:left="100"/>
              <w:spacing w:after="0"/>
              <w:rPr>
                <w:sz w:val="20"/>
                <w:szCs w:val="20"/>
                <w:color w:val="auto"/>
              </w:rPr>
            </w:pPr>
            <w:r>
              <w:rPr>
                <w:rFonts w:ascii="Arial" w:cs="Arial" w:eastAsia="Arial" w:hAnsi="Arial"/>
                <w:sz w:val="9"/>
                <w:szCs w:val="9"/>
                <w:color w:val="auto"/>
              </w:rPr>
              <w:t>Other (specify below)</w:t>
            </w:r>
          </w:p>
        </w:tc>
        <w:tc>
          <w:tcPr>
            <w:tcW w:w="120" w:type="dxa"/>
            <w:vAlign w:val="bottom"/>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3"/>
            <w:vMerge w:val="restart"/>
          </w:tcPr>
          <w:p>
            <w:pPr>
              <w:ind w:left="480"/>
              <w:spacing w:after="0"/>
              <w:rPr>
                <w:sz w:val="20"/>
                <w:szCs w:val="20"/>
                <w:color w:val="auto"/>
              </w:rPr>
            </w:pPr>
            <w:r>
              <w:rPr>
                <w:rFonts w:ascii="Arial" w:cs="Arial" w:eastAsia="Arial" w:hAnsi="Arial"/>
                <w:sz w:val="12"/>
                <w:szCs w:val="12"/>
                <w:color w:val="0000FF"/>
              </w:rPr>
              <w:t>EVP Corp Dev &amp; Strategic Plng</w:t>
            </w:r>
          </w:p>
        </w:tc>
        <w:tc>
          <w:tcPr>
            <w:tcW w:w="120" w:type="dxa"/>
            <w:vAlign w:val="bottom"/>
          </w:tcPr>
          <w:p>
            <w:pPr>
              <w:spacing w:after="0"/>
              <w:rPr>
                <w:sz w:val="12"/>
                <w:szCs w:val="12"/>
                <w:color w:val="auto"/>
              </w:rPr>
            </w:pPr>
          </w:p>
        </w:tc>
        <w:tc>
          <w:tcPr>
            <w:tcW w:w="280" w:type="dxa"/>
            <w:vAlign w:val="bottom"/>
          </w:tcPr>
          <w:p>
            <w:pPr>
              <w:ind w:left="100"/>
              <w:spacing w:after="0"/>
              <w:rPr>
                <w:sz w:val="20"/>
                <w:szCs w:val="20"/>
                <w:color w:val="auto"/>
              </w:rPr>
            </w:pPr>
            <w:r>
              <w:rPr>
                <w:rFonts w:ascii="Arial" w:cs="Arial" w:eastAsia="Arial" w:hAnsi="Arial"/>
                <w:sz w:val="12"/>
                <w:szCs w:val="12"/>
                <w:color w:val="0000FF"/>
              </w:rPr>
              <w:t>X</w:t>
            </w:r>
          </w:p>
        </w:tc>
        <w:tc>
          <w:tcPr>
            <w:tcW w:w="2480" w:type="dxa"/>
            <w:vAlign w:val="bottom"/>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4"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Common Stock</w:t>
            </w:r>
          </w:p>
        </w:tc>
        <w:tc>
          <w:tcPr>
            <w:tcW w:w="6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ind w:left="880"/>
              <w:spacing w:after="0"/>
              <w:rPr>
                <w:sz w:val="20"/>
                <w:szCs w:val="20"/>
                <w:color w:val="auto"/>
              </w:rPr>
            </w:pPr>
            <w:r>
              <w:rPr>
                <w:rFonts w:ascii="Arial" w:cs="Arial" w:eastAsia="Arial" w:hAnsi="Arial"/>
                <w:sz w:val="12"/>
                <w:szCs w:val="12"/>
                <w:color w:val="0000FF"/>
              </w:rPr>
              <w:t>24,781</w:t>
            </w:r>
            <w:r>
              <w:rPr>
                <w:rFonts w:ascii="Arial" w:cs="Arial" w:eastAsia="Arial" w:hAnsi="Arial"/>
                <w:sz w:val="15"/>
                <w:szCs w:val="15"/>
                <w:color w:val="008000"/>
                <w:vertAlign w:val="superscript"/>
              </w:rPr>
              <w:t>(1)</w:t>
            </w:r>
          </w:p>
        </w:tc>
        <w:tc>
          <w:tcPr>
            <w:tcW w:w="860" w:type="dxa"/>
            <w:vAlign w:val="bottom"/>
            <w:tcBorders>
              <w:bottom w:val="single" w:sz="8" w:color="2C2C2C"/>
            </w:tcBorders>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Restricted Stock Unit</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(2)</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8"/>
              <w:spacing w:after="0"/>
              <w:rPr>
                <w:sz w:val="20"/>
                <w:szCs w:val="20"/>
                <w:color w:val="auto"/>
              </w:rPr>
            </w:pPr>
            <w:r>
              <w:rPr>
                <w:rFonts w:ascii="Arial" w:cs="Arial" w:eastAsia="Arial" w:hAnsi="Arial"/>
                <w:sz w:val="12"/>
                <w:szCs w:val="12"/>
                <w:color w:val="0000FF"/>
                <w:w w:val="85"/>
              </w:rPr>
              <w:t>16,358</w:t>
            </w:r>
            <w:r>
              <w:rPr>
                <w:rFonts w:ascii="Arial" w:cs="Arial" w:eastAsia="Arial" w:hAnsi="Arial"/>
                <w:sz w:val="15"/>
                <w:szCs w:val="15"/>
                <w:color w:val="008000"/>
                <w:w w:val="85"/>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Employee Stock Option (right to buy)</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8"/>
                <w:szCs w:val="8"/>
                <w:color w:val="008000"/>
              </w:rPr>
              <w:t>(3)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9"/>
                <w:szCs w:val="9"/>
                <w:color w:val="0000FF"/>
                <w:w w:val="88"/>
              </w:rPr>
              <w:t>02/20/2025</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Borders>
              <w:bottom w:val="single" w:sz="8" w:color="2C2C2C"/>
            </w:tcBorders>
          </w:tcPr>
          <w:p>
            <w:pPr>
              <w:jc w:val="center"/>
              <w:ind w:left="108"/>
              <w:spacing w:after="0"/>
              <w:rPr>
                <w:sz w:val="20"/>
                <w:szCs w:val="20"/>
                <w:color w:val="auto"/>
              </w:rPr>
            </w:pPr>
            <w:r>
              <w:rPr>
                <w:rFonts w:ascii="Arial" w:cs="Arial" w:eastAsia="Arial" w:hAnsi="Arial"/>
                <w:sz w:val="12"/>
                <w:szCs w:val="12"/>
                <w:color w:val="0000FF"/>
                <w:w w:val="80"/>
              </w:rPr>
              <w:t>7,486</w:t>
            </w:r>
            <w:r>
              <w:rPr>
                <w:rFonts w:ascii="Arial" w:cs="Arial" w:eastAsia="Arial" w:hAnsi="Arial"/>
                <w:sz w:val="15"/>
                <w:szCs w:val="15"/>
                <w:color w:val="008000"/>
                <w:w w:val="8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86"/>
              </w:rPr>
              <w:t>20.17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2015 Stock Option</w:t>
            </w:r>
          </w:p>
        </w:tc>
        <w:tc>
          <w:tcPr>
            <w:tcW w:w="600" w:type="dxa"/>
            <w:vAlign w:val="bottom"/>
          </w:tcPr>
          <w:p>
            <w:pPr>
              <w:ind w:left="260"/>
              <w:spacing w:after="0"/>
              <w:rPr>
                <w:sz w:val="20"/>
                <w:szCs w:val="20"/>
                <w:color w:val="auto"/>
              </w:rPr>
            </w:pPr>
            <w:r>
              <w:rPr>
                <w:rFonts w:ascii="Arial" w:cs="Arial" w:eastAsia="Arial" w:hAnsi="Arial"/>
                <w:sz w:val="8"/>
                <w:szCs w:val="8"/>
                <w:color w:val="008000"/>
              </w:rPr>
              <w:t>(4)</w:t>
            </w:r>
          </w:p>
        </w:tc>
        <w:tc>
          <w:tcPr>
            <w:tcW w:w="520" w:type="dxa"/>
            <w:vAlign w:val="bottom"/>
          </w:tcPr>
          <w:p>
            <w:pPr>
              <w:jc w:val="center"/>
              <w:spacing w:after="0"/>
              <w:rPr>
                <w:sz w:val="20"/>
                <w:szCs w:val="20"/>
                <w:color w:val="auto"/>
              </w:rPr>
            </w:pPr>
            <w:r>
              <w:rPr>
                <w:rFonts w:ascii="Arial" w:cs="Arial" w:eastAsia="Arial" w:hAnsi="Arial"/>
                <w:sz w:val="9"/>
                <w:szCs w:val="9"/>
                <w:color w:val="0000FF"/>
                <w:w w:val="88"/>
              </w:rPr>
              <w:t>08/04/2022</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8"/>
              <w:spacing w:after="0"/>
              <w:rPr>
                <w:sz w:val="20"/>
                <w:szCs w:val="20"/>
                <w:color w:val="auto"/>
              </w:rPr>
            </w:pPr>
            <w:r>
              <w:rPr>
                <w:rFonts w:ascii="Arial" w:cs="Arial" w:eastAsia="Arial" w:hAnsi="Arial"/>
                <w:sz w:val="12"/>
                <w:szCs w:val="12"/>
                <w:color w:val="0000FF"/>
                <w:w w:val="86"/>
              </w:rPr>
              <w:t>4,334</w:t>
            </w:r>
          </w:p>
        </w:tc>
        <w:tc>
          <w:tcPr>
            <w:tcW w:w="800" w:type="dxa"/>
            <w:vAlign w:val="bottom"/>
          </w:tcPr>
          <w:p>
            <w:pPr>
              <w:jc w:val="center"/>
              <w:spacing w:after="0"/>
              <w:rPr>
                <w:sz w:val="20"/>
                <w:szCs w:val="20"/>
                <w:color w:val="auto"/>
              </w:rPr>
            </w:pPr>
            <w:r>
              <w:rPr>
                <w:rFonts w:ascii="Arial" w:cs="Arial" w:eastAsia="Arial" w:hAnsi="Arial"/>
                <w:sz w:val="12"/>
                <w:szCs w:val="12"/>
                <w:color w:val="0000FF"/>
                <w:w w:val="89"/>
              </w:rPr>
              <w:t>42</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2014 Stock Option</w:t>
            </w:r>
          </w:p>
        </w:tc>
        <w:tc>
          <w:tcPr>
            <w:tcW w:w="600" w:type="dxa"/>
            <w:vAlign w:val="bottom"/>
          </w:tcPr>
          <w:p>
            <w:pPr>
              <w:ind w:left="260"/>
              <w:spacing w:after="0"/>
              <w:rPr>
                <w:sz w:val="20"/>
                <w:szCs w:val="20"/>
                <w:color w:val="auto"/>
              </w:rPr>
            </w:pPr>
            <w:r>
              <w:rPr>
                <w:rFonts w:ascii="Arial" w:cs="Arial" w:eastAsia="Arial" w:hAnsi="Arial"/>
                <w:sz w:val="8"/>
                <w:szCs w:val="8"/>
                <w:color w:val="008000"/>
              </w:rPr>
              <w:t>(5)</w:t>
            </w:r>
          </w:p>
        </w:tc>
        <w:tc>
          <w:tcPr>
            <w:tcW w:w="520" w:type="dxa"/>
            <w:vAlign w:val="bottom"/>
          </w:tcPr>
          <w:p>
            <w:pPr>
              <w:jc w:val="center"/>
              <w:spacing w:after="0"/>
              <w:rPr>
                <w:sz w:val="20"/>
                <w:szCs w:val="20"/>
                <w:color w:val="auto"/>
              </w:rPr>
            </w:pPr>
            <w:r>
              <w:rPr>
                <w:rFonts w:ascii="Arial" w:cs="Arial" w:eastAsia="Arial" w:hAnsi="Arial"/>
                <w:sz w:val="9"/>
                <w:szCs w:val="9"/>
                <w:color w:val="0000FF"/>
                <w:w w:val="88"/>
              </w:rPr>
              <w:t>11/30/2021</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Stock</w:t>
            </w:r>
          </w:p>
        </w:tc>
        <w:tc>
          <w:tcPr>
            <w:tcW w:w="860" w:type="dxa"/>
            <w:vAlign w:val="bottom"/>
          </w:tcPr>
          <w:p>
            <w:pPr>
              <w:jc w:val="center"/>
              <w:ind w:left="108"/>
              <w:spacing w:after="0"/>
              <w:rPr>
                <w:sz w:val="20"/>
                <w:szCs w:val="20"/>
                <w:color w:val="auto"/>
              </w:rPr>
            </w:pPr>
            <w:r>
              <w:rPr>
                <w:rFonts w:ascii="Arial" w:cs="Arial" w:eastAsia="Arial" w:hAnsi="Arial"/>
                <w:sz w:val="12"/>
                <w:szCs w:val="12"/>
                <w:color w:val="0000FF"/>
                <w:w w:val="86"/>
              </w:rPr>
              <w:t>3,536</w:t>
            </w:r>
          </w:p>
        </w:tc>
        <w:tc>
          <w:tcPr>
            <w:tcW w:w="800" w:type="dxa"/>
            <w:vAlign w:val="bottom"/>
          </w:tcPr>
          <w:p>
            <w:pPr>
              <w:jc w:val="center"/>
              <w:spacing w:after="0"/>
              <w:rPr>
                <w:sz w:val="20"/>
                <w:szCs w:val="20"/>
                <w:color w:val="auto"/>
              </w:rPr>
            </w:pPr>
            <w:r>
              <w:rPr>
                <w:rFonts w:ascii="Arial" w:cs="Arial" w:eastAsia="Arial" w:hAnsi="Arial"/>
                <w:sz w:val="12"/>
                <w:szCs w:val="12"/>
                <w:color w:val="0000FF"/>
                <w:w w:val="85"/>
              </w:rPr>
              <w:t>81.1</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right="4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amount reported includes the following pursuant to the California Resources Corporation (CRC) Long-Term Incentive Plan (LTIP): (1) 775 Restricted Stock Units (RSUs) granted on August 15, 2015 which will vest on August 4, 2018, (2) 5,833 RSUs granted on May 27, 2016 which will vest 1/2 each on May 26, 2018 and 2019, (3) 7,088 RSUs granted on February 13, 2017 which will vest 1/2 each on February 12, 2019 and 2020, and (4) 3,896 RSUs granted on August 1, 2017 which will vest on July 30, 2020.</w:t>
      </w:r>
    </w:p>
    <w:p>
      <w:pPr>
        <w:spacing w:after="0" w:line="15"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amount reported consists of RSUs granted on February 21, 2018 which will vest 1/3 each on February 20, 2019, 2020, and 2021, and will be settled 60% in shares of CRC common stock and 40% in cash, pursuant to CRC's LTIP.</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Stock Options will vest in three equal installments beginning February 20, 2019, 2020 and 2021.</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Stock Options became exercisable as to 1,444 shares on August 4, 2016, and 1,445 shares on August 4, 2017, and becomes exercisable as to the remaining 1,445 shares on August 4, 2018.</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Stock Options became exercisable as to 1,178 shares on November 30, 2015, and 1,179 shares each on November 30, 2016 and November 30, 2017.</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0000FF"/>
                <w:w w:val="91"/>
              </w:rPr>
              <w:t>/s/ Ulrik Damborg, Attorney-in-Fact for</w:t>
            </w:r>
          </w:p>
        </w:tc>
        <w:tc>
          <w:tcPr>
            <w:tcW w:w="42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0000FF"/>
                <w:w w:val="86"/>
              </w:rPr>
              <w:t>03/02/2018</w:t>
            </w:r>
          </w:p>
        </w:tc>
        <w:tc>
          <w:tcPr>
            <w:tcW w:w="0" w:type="dxa"/>
            <w:vAlign w:val="bottom"/>
          </w:tcPr>
          <w:p>
            <w:pPr>
              <w:spacing w:after="0"/>
              <w:rPr>
                <w:sz w:val="1"/>
                <w:szCs w:val="1"/>
                <w:color w:val="auto"/>
              </w:rPr>
            </w:pPr>
          </w:p>
        </w:tc>
      </w:tr>
      <w:tr>
        <w:trPr>
          <w:trHeight w:val="57"/>
        </w:trPr>
        <w:tc>
          <w:tcPr>
            <w:tcW w:w="720" w:type="dxa"/>
            <w:vAlign w:val="bottom"/>
            <w:vMerge w:val="restart"/>
          </w:tcPr>
          <w:p>
            <w:pPr>
              <w:spacing w:after="0" w:line="124" w:lineRule="exact"/>
              <w:rPr>
                <w:sz w:val="20"/>
                <w:szCs w:val="20"/>
                <w:color w:val="auto"/>
              </w:rPr>
            </w:pPr>
            <w:r>
              <w:rPr>
                <w:rFonts w:ascii="Arial" w:cs="Arial" w:eastAsia="Arial" w:hAnsi="Arial"/>
                <w:sz w:val="12"/>
                <w:szCs w:val="12"/>
                <w:color w:val="0000FF"/>
                <w:w w:val="85"/>
              </w:rPr>
              <w:t>Francisco Leon</w:t>
            </w:r>
          </w:p>
        </w:tc>
        <w:tc>
          <w:tcPr>
            <w:tcW w:w="1560" w:type="dxa"/>
            <w:vAlign w:val="bottom"/>
            <w:gridSpan w:val="2"/>
            <w:vMerge w:val="restart"/>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720" w:type="dxa"/>
            <w:vAlign w:val="bottom"/>
            <w:tcBorders>
              <w:bottom w:val="single" w:sz="8" w:color="auto"/>
            </w:tcBorders>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280" w:type="dxa"/>
            <w:vAlign w:val="bottom"/>
            <w:gridSpan w:val="3"/>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21st day of February, 2018.</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Francisco Leon</w:t>
      </w:r>
    </w:p>
    <w:p>
      <w:pPr>
        <w:ind w:left="8"/>
        <w:spacing w:after="0"/>
        <w:rPr>
          <w:sz w:val="20"/>
          <w:szCs w:val="20"/>
          <w:color w:val="auto"/>
        </w:rPr>
      </w:pPr>
      <w:r>
        <w:rPr>
          <w:rFonts w:ascii="Courier New" w:cs="Courier New" w:eastAsia="Courier New" w:hAnsi="Courier New"/>
          <w:sz w:val="12"/>
          <w:szCs w:val="12"/>
          <w:color w:val="auto"/>
        </w:rPr>
        <w:t>Francisco Leon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2190" TargetMode="External"/><Relationship Id="rId12"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2019-12-08T11:00:40Z</dcterms:created>
  <dcterms:modified xsi:type="dcterms:W3CDTF">2019-12-08T11:00:40Z</dcterms:modified>
</cp:coreProperties>
</file>