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3,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6"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May 7, 2024, California Resources Corporation (the “Company”) issued a press release announcing its financial condition and results of operations for the three months ended March 31, 2024.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8" w:lineRule="exact"/>
        <w:rPr>
          <w:sz w:val="20"/>
          <w:szCs w:val="20"/>
          <w:color w:val="auto"/>
        </w:rPr>
      </w:pPr>
    </w:p>
    <w:p>
      <w:pPr>
        <w:ind w:left="660" w:hanging="63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2024 Annual Meeting of Stockholders (the “Annual Meeting”) on May 3, 2024.</w:t>
      </w:r>
    </w:p>
    <w:p>
      <w:pPr>
        <w:spacing w:after="0" w:line="286" w:lineRule="exact"/>
        <w:rPr>
          <w:rFonts w:ascii="Times New Roman" w:cs="Times New Roman" w:eastAsia="Times New Roman" w:hAnsi="Times New Roman"/>
          <w:sz w:val="18"/>
          <w:szCs w:val="18"/>
          <w:color w:val="auto"/>
        </w:rPr>
      </w:pPr>
    </w:p>
    <w:p>
      <w:pPr>
        <w:ind w:left="660" w:right="1260" w:hanging="636"/>
        <w:spacing w:after="0" w:line="22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 for which proxies were solicited pursuant to Regulation 14A under the Exchange Act, and the final number of votes cast for, against or withheld, abstentions and broker non-votes for each matter are set forth below:</w:t>
      </w:r>
    </w:p>
    <w:p>
      <w:pPr>
        <w:spacing w:after="0" w:line="2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The nine director nominees named in the Company’s proxy statement were elected with the following votes:</w:t>
      </w:r>
    </w:p>
    <w:p>
      <w:pPr>
        <w:spacing w:after="0" w:line="271"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w w:val="94"/>
              </w:rPr>
              <w:t>Withheld</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60" w:type="dxa"/>
            <w:vAlign w:val="bottom"/>
            <w:gridSpan w:val="4"/>
          </w:tcPr>
          <w:p>
            <w:pPr>
              <w:jc w:val="center"/>
              <w:ind w:right="280"/>
              <w:spacing w:after="0" w:line="167" w:lineRule="exact"/>
              <w:rPr>
                <w:sz w:val="20"/>
                <w:szCs w:val="20"/>
                <w:color w:val="auto"/>
              </w:rPr>
            </w:pPr>
            <w:r>
              <w:rPr>
                <w:rFonts w:ascii="Times New Roman" w:cs="Times New Roman" w:eastAsia="Times New Roman" w:hAnsi="Times New Roman"/>
                <w:sz w:val="18"/>
                <w:szCs w:val="18"/>
                <w:b w:val="1"/>
                <w:bCs w:val="1"/>
                <w:color w:val="auto"/>
                <w:w w:val="96"/>
              </w:rPr>
              <w:t>Non-Votes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Bremner</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61,868,887</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569,099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Tiffany (TJ) Thom Cepak</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58,341,420</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4,096,566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 Chapman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61,710,392</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727,594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S. Kendall</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62,174,414</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263,572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Francisco J. Leon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62,160,707</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277,279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(Mac) McFarland</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62,107,783</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330,203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Neeman Brady</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61,865,735</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572,251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Roby</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61,682,612</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755,374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r>
        <w:trPr>
          <w:trHeight w:val="23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Alejandra (Ale) Veltmann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61,791,752</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646,234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2,164,021</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280" w:right="1280" w:hanging="629"/>
        <w:spacing w:after="0" w:line="24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KPMG LLP as the Company’s independent registered public accounting firm for the fiscal year ending December 31, 2024 was approved. The proposal received 64,313,559 votes for; 155,217 votes against; and 133,231 abstentions.</w:t>
      </w:r>
    </w:p>
    <w:p>
      <w:pPr>
        <w:spacing w:after="0" w:line="283" w:lineRule="exact"/>
        <w:rPr>
          <w:rFonts w:ascii="Times New Roman" w:cs="Times New Roman" w:eastAsia="Times New Roman" w:hAnsi="Times New Roman"/>
          <w:sz w:val="18"/>
          <w:szCs w:val="18"/>
          <w:color w:val="auto"/>
        </w:rPr>
      </w:pPr>
    </w:p>
    <w:p>
      <w:pPr>
        <w:ind w:left="1280" w:right="1480" w:hanging="629"/>
        <w:spacing w:after="0" w:line="261"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vote to approve named executive officer compensation was approved. The proposal received 59,337,433 votes for; 2,919,166 votes against; 181,387 abstentions; and 2,164,021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3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93"/>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0" w:type="dxa"/>
            <w:vAlign w:val="bottom"/>
          </w:tcPr>
          <w:p>
            <w:pPr>
              <w:spacing w:after="0"/>
              <w:rPr>
                <w:sz w:val="24"/>
                <w:szCs w:val="24"/>
                <w:color w:val="auto"/>
              </w:rPr>
            </w:pPr>
          </w:p>
        </w:tc>
        <w:tc>
          <w:tcPr>
            <w:tcW w:w="334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7, 2024.</w:t>
            </w:r>
          </w:p>
        </w:tc>
        <w:tc>
          <w:tcPr>
            <w:tcW w:w="3340" w:type="dxa"/>
            <w:vAlign w:val="bottom"/>
          </w:tcPr>
          <w:p>
            <w:pPr>
              <w:spacing w:after="0"/>
              <w:rPr>
                <w:sz w:val="19"/>
                <w:szCs w:val="19"/>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2024</w:t>
      </w:r>
    </w:p>
    <w:p>
      <w:pPr>
        <w:sectPr>
          <w:pgSz w:w="11900" w:h="16838" w:orient="portrait"/>
          <w:cols w:equalWidth="0" w:num="1">
            <w:col w:w="11240"/>
          </w:cols>
          <w:pgMar w:left="320" w:top="139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4514850</wp:posOffset>
            </wp:positionH>
            <wp:positionV relativeFrom="page">
              <wp:posOffset>723900</wp:posOffset>
            </wp:positionV>
            <wp:extent cx="1624965" cy="473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Reports First Quarter 2024 Financial and Operating Results</w:t>
      </w:r>
    </w:p>
    <w:p>
      <w:pPr>
        <w:spacing w:after="0" w:line="245" w:lineRule="exact"/>
        <w:rPr>
          <w:sz w:val="20"/>
          <w:szCs w:val="20"/>
          <w:color w:val="auto"/>
        </w:rPr>
      </w:pPr>
    </w:p>
    <w:p>
      <w:pPr>
        <w:jc w:val="center"/>
        <w:ind w:left="340" w:right="180"/>
        <w:spacing w:after="0" w:line="250" w:lineRule="auto"/>
        <w:rPr>
          <w:sz w:val="20"/>
          <w:szCs w:val="20"/>
          <w:color w:val="auto"/>
        </w:rPr>
      </w:pPr>
      <w:r>
        <w:rPr>
          <w:rFonts w:ascii="Arial" w:cs="Arial" w:eastAsia="Arial" w:hAnsi="Arial"/>
          <w:sz w:val="20"/>
          <w:szCs w:val="20"/>
          <w:i w:val="1"/>
          <w:iCs w:val="1"/>
          <w:color w:val="auto"/>
        </w:rPr>
        <w:t>CRC Committed to Shareholder Return Strategy; Returned Nearly $95 million Year to Date to Shareholders via Dividends and Share Repurchases</w:t>
      </w:r>
    </w:p>
    <w:p>
      <w:pPr>
        <w:spacing w:after="0" w:line="196"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LONG BEACH, California, May 7, 2024 - California Resources Corporation (NYSE: CRC) today reported financial and operating results for the first quarter 2024. The Company plans to host a conference call and webcast on Wednesday, May 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at 1:00 p.m. Eastern Time (10:00 a.m. Pacific Time). Participation details can be found within this release. In addition, supplemental slides are posted to CRC’s website at www.crc.com.</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First Quarter 2024 Highlights:</w:t>
      </w:r>
    </w:p>
    <w:p>
      <w:pPr>
        <w:spacing w:after="0" w:line="267" w:lineRule="exact"/>
        <w:rPr>
          <w:sz w:val="20"/>
          <w:szCs w:val="20"/>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Returned $79 million to shareholders through share repurchases and dividends</w:t>
      </w:r>
    </w:p>
    <w:p>
      <w:pPr>
        <w:spacing w:after="0" w:line="39"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Reported $87 million of net cash from operating activities</w:t>
      </w:r>
    </w:p>
    <w:p>
      <w:pPr>
        <w:spacing w:after="0" w:line="38" w:lineRule="exact"/>
        <w:rPr>
          <w:rFonts w:ascii="Arial" w:cs="Arial" w:eastAsia="Arial" w:hAnsi="Arial"/>
          <w:sz w:val="21"/>
          <w:szCs w:val="21"/>
          <w:color w:val="auto"/>
        </w:rPr>
      </w:pPr>
    </w:p>
    <w:p>
      <w:pPr>
        <w:jc w:val="both"/>
        <w:ind w:left="640" w:hanging="314"/>
        <w:spacing w:after="0" w:line="249"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Net cash provided by operating activities before changes in operating assets and liabilities, net</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$92 million includes $25 million of costs related to the Aera transaction and incremental energy costs due to scheduled power plant major maintenance</w:t>
      </w:r>
    </w:p>
    <w:p>
      <w:pPr>
        <w:spacing w:after="0" w:line="3" w:lineRule="exact"/>
        <w:rPr>
          <w:rFonts w:ascii="Arial" w:cs="Arial" w:eastAsia="Arial" w:hAnsi="Arial"/>
          <w:sz w:val="21"/>
          <w:szCs w:val="21"/>
          <w:color w:val="auto"/>
        </w:rPr>
      </w:pPr>
    </w:p>
    <w:p>
      <w:pPr>
        <w:jc w:val="both"/>
        <w:ind w:left="640" w:hanging="314"/>
        <w:spacing w:after="0" w:line="260"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Reported net loss of $10 million, or $0.14 per diluted share. When adjusted for items analysts typically exclude from estimates (including mark-to-market adjustments of $59 million, one-time costs for Aera Merger of $13 million and increased power and fuel costs due to power plant shutdown of $21 million all of which is before taxes), the Company's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$54 million, or $0.75 per diluted share</w:t>
      </w:r>
    </w:p>
    <w:p>
      <w:pPr>
        <w:spacing w:after="0" w:line="3" w:lineRule="exact"/>
        <w:rPr>
          <w:rFonts w:ascii="Arial" w:cs="Arial" w:eastAsia="Arial" w:hAnsi="Arial"/>
          <w:sz w:val="21"/>
          <w:szCs w:val="21"/>
          <w:color w:val="auto"/>
        </w:rPr>
      </w:pPr>
    </w:p>
    <w:p>
      <w:pPr>
        <w:ind w:left="640" w:hanging="314"/>
        <w:spacing w:after="0" w:line="216" w:lineRule="auto"/>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Generated an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$149 million and $33 million of free cash flow</w:t>
      </w:r>
      <w:r>
        <w:rPr>
          <w:rFonts w:ascii="Arial" w:cs="Arial" w:eastAsia="Arial" w:hAnsi="Arial"/>
          <w:sz w:val="11"/>
          <w:szCs w:val="11"/>
          <w:color w:val="auto"/>
        </w:rPr>
        <w:t>1</w:t>
      </w:r>
    </w:p>
    <w:p>
      <w:pPr>
        <w:ind w:left="640" w:hanging="314"/>
        <w:spacing w:after="0" w:line="26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Flat entry to exit gross production of 94 thousand barrels of oil equivalent per day (MBoe/d) after investing drilling and workover capital of $22 million</w:t>
      </w:r>
    </w:p>
    <w:p>
      <w:pPr>
        <w:spacing w:after="0" w:line="1" w:lineRule="exact"/>
        <w:rPr>
          <w:rFonts w:ascii="Arial" w:cs="Arial" w:eastAsia="Arial" w:hAnsi="Arial"/>
          <w:sz w:val="21"/>
          <w:szCs w:val="21"/>
          <w:color w:val="auto"/>
        </w:rPr>
      </w:pPr>
    </w:p>
    <w:p>
      <w:pPr>
        <w:ind w:left="640" w:hanging="314"/>
        <w:spacing w:after="0" w:line="27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Delivered average quarterly net production of 76 MBoe/d and net oil production of 48 thousand barrels of oil per day (MBo/d)</w:t>
      </w:r>
    </w:p>
    <w:p>
      <w:pPr>
        <w:jc w:val="both"/>
        <w:ind w:left="640" w:hanging="314"/>
        <w:spacing w:after="0" w:line="273"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Carbon TerraVault JV achieved the milestone for the second installment related to “CTV I – 26R” reservoir pore space contribution in the amount of $46 million. See CTV's First Quarter 2024 Update press release for additional information</w:t>
      </w:r>
    </w:p>
    <w:p>
      <w:pPr>
        <w:spacing w:after="0" w:line="2" w:lineRule="exact"/>
        <w:rPr>
          <w:rFonts w:ascii="Arial" w:cs="Arial" w:eastAsia="Arial" w:hAnsi="Arial"/>
          <w:sz w:val="21"/>
          <w:szCs w:val="21"/>
          <w:color w:val="auto"/>
        </w:rPr>
      </w:pPr>
    </w:p>
    <w:p>
      <w:pPr>
        <w:jc w:val="both"/>
        <w:ind w:left="640" w:hanging="314"/>
        <w:spacing w:after="0" w:line="274"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Announced the expiration of the required waiting period under the Hart-Scott-Rodino Antitrust Improvements Act of 1976 with respect to the pending combination upon the completion of which Aera Energy, LLC (Aera) and its operating affiliate Aera Energy Services Company will be indirect wholly-owned subsidiaries of CRC (Aera Merger)</w:t>
      </w:r>
    </w:p>
    <w:p>
      <w:pPr>
        <w:spacing w:after="0" w:line="3" w:lineRule="exact"/>
        <w:rPr>
          <w:rFonts w:ascii="Arial" w:cs="Arial" w:eastAsia="Arial" w:hAnsi="Arial"/>
          <w:sz w:val="21"/>
          <w:szCs w:val="21"/>
          <w:color w:val="auto"/>
        </w:rPr>
      </w:pPr>
    </w:p>
    <w:p>
      <w:pPr>
        <w:ind w:left="640" w:right="20" w:hanging="314"/>
        <w:spacing w:after="0" w:line="316"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Received “Grade A” certification through MiQ’s Methane Emissions Performance Standard for CRC's operating assets in Los Angeles and Orange Counties</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"Our solid first quarter performance adds to CRC's historical track record of unwavering commitment to shareholder returns and effective cost management," said Francisco Leon, CRC's President and Chief Executive Officer. "CRC's improved cost structure demonstrates the fundamental improvements we’ve made to our business, reflecting our readiness to combine with Aera while driving a higher level of efficiency and effectiveness throughout the organization. I want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1"/>
          <w:szCs w:val="21"/>
          <w:color w:val="auto"/>
        </w:rPr>
        <w:t>to thank all of our employees as the foundation of CRC’s continued success comes from their ongoing diligent efforts and hard work”</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"With company's operations successfully scaled to generate free cash flow, our advantaged balance sheet position has allowed us to accelerate the return of capital to shareholders and return more than double of our quarterly free cash flow</w:t>
      </w:r>
      <w:r>
        <w:rPr>
          <w:rFonts w:ascii="Arial" w:cs="Arial" w:eastAsia="Arial" w:hAnsi="Arial"/>
          <w:sz w:val="11"/>
          <w:szCs w:val="11"/>
          <w:color w:val="auto"/>
        </w:rPr>
        <w:t>1</w:t>
      </w:r>
      <w:r>
        <w:rPr>
          <w:rFonts w:ascii="Arial" w:cs="Arial" w:eastAsia="Arial" w:hAnsi="Arial"/>
          <w:sz w:val="21"/>
          <w:szCs w:val="21"/>
          <w:color w:val="auto"/>
        </w:rPr>
        <w:t xml:space="preserve"> back to investors," continued Leon. "Looking ahead to the remainder of the year, we remain focused on closing the Aera Merger, further expanding our carbon management business and continuing to provide innovative energy solutions to meet California's energy needs."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First Quarter 2024 Financial and Operating Summary</w:t>
      </w:r>
    </w:p>
    <w:p>
      <w:pPr>
        <w:spacing w:after="0" w:line="240" w:lineRule="exact"/>
        <w:rPr>
          <w:sz w:val="20"/>
          <w:szCs w:val="20"/>
          <w:color w:val="auto"/>
        </w:rPr>
      </w:pPr>
    </w:p>
    <w:p>
      <w:pPr>
        <w:jc w:val="both"/>
        <w:ind w:firstLine="320"/>
        <w:spacing w:after="0" w:line="217" w:lineRule="auto"/>
        <w:rPr>
          <w:sz w:val="20"/>
          <w:szCs w:val="20"/>
          <w:color w:val="auto"/>
        </w:rPr>
      </w:pPr>
      <w:r>
        <w:rPr>
          <w:rFonts w:ascii="Arial" w:cs="Arial" w:eastAsia="Arial" w:hAnsi="Arial"/>
          <w:sz w:val="21"/>
          <w:szCs w:val="21"/>
          <w:color w:val="auto"/>
        </w:rPr>
        <w:t>Net loss for the period was $10 million, or $0.14 per diluted share of common stock, and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$54 million, or $0.75 per diluted share. The Company reported first quarter net cash from operating activities of $87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was $149 million. Net cash provided by operating activities before changes in operating assets and liabilities, net</w:t>
      </w:r>
      <w:r>
        <w:rPr>
          <w:rFonts w:ascii="Arial" w:cs="Arial" w:eastAsia="Arial" w:hAnsi="Arial"/>
          <w:sz w:val="27"/>
          <w:szCs w:val="27"/>
          <w:color w:val="auto"/>
          <w:vertAlign w:val="superscript"/>
        </w:rPr>
        <w:t>1</w:t>
      </w:r>
      <w:r>
        <w:rPr>
          <w:rFonts w:ascii="Arial" w:cs="Arial" w:eastAsia="Arial" w:hAnsi="Arial"/>
          <w:sz w:val="21"/>
          <w:szCs w:val="21"/>
          <w:color w:val="auto"/>
        </w:rPr>
        <w:t>, of $92 million includes Aera Merger expenses of $13 million and incremental energy costs due to the scheduled Elk Hills power plant major maintenance of $12 million. CRC generated $33 million of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during the quarter.</w:t>
      </w:r>
    </w:p>
    <w:p>
      <w:pPr>
        <w:spacing w:after="0" w:line="12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CRC’s gross production in the first quarter averaged 94 MBoe/d. Net production averaged 76 MBoe/d, including net oil production of 48 MBo/d. A longer than expected Elk Hills power plant major maintenance, challenging weather conditions and PSC effects adversely affected net production in the first quarter of 2024 by 1.5 MBoe/d from previously issued guidance. Average realized oil prices during the quarter were 98% of Brent.</w:t>
      </w:r>
    </w:p>
    <w:p>
      <w:pPr>
        <w:spacing w:after="0" w:line="192"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Operating costs in the first quarter of 2024 were $176 million compared to $186 million in the fourth quarter of 2023 primarily due to lower electricity and natural gas prices.</w:t>
      </w:r>
    </w:p>
    <w:p>
      <w:pPr>
        <w:spacing w:after="0" w:line="162" w:lineRule="exact"/>
        <w:rPr>
          <w:sz w:val="20"/>
          <w:szCs w:val="20"/>
          <w:color w:val="auto"/>
        </w:rPr>
      </w:pPr>
    </w:p>
    <w:p>
      <w:pPr>
        <w:jc w:val="both"/>
        <w:ind w:right="20" w:firstLine="320"/>
        <w:spacing w:after="0" w:line="277" w:lineRule="auto"/>
        <w:rPr>
          <w:sz w:val="20"/>
          <w:szCs w:val="20"/>
          <w:color w:val="auto"/>
        </w:rPr>
      </w:pPr>
      <w:r>
        <w:rPr>
          <w:rFonts w:ascii="Arial" w:cs="Arial" w:eastAsia="Arial" w:hAnsi="Arial"/>
          <w:sz w:val="21"/>
          <w:szCs w:val="21"/>
          <w:color w:val="auto"/>
        </w:rPr>
        <w:t>Capital in the first quarter of 2024 was lower than previously issued guidance due to anticipated facility and workover spend, and totaled $54 million. CRC ran a one-rig program in the San Joaquin basin during the period.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First Quarter 2024 Financial Results</w:t>
      </w:r>
    </w:p>
    <w:p>
      <w:pPr>
        <w:spacing w:after="0" w:line="24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Certain prior period balances related to NGL marketing activities have been reclassified to conform to CRC's 2024 presentation. For the three months ended December 31, 2023, CRC reclassified $4 million related to NGL storage activities from other revenue to revenue from marketing of purchased commodities on the condensed consolidated statement of operations. CRC also reclassified $3 million of NGL processing fees from other operating expenses, net to costs related to marketing of purchased commodities.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7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DBDBDB"/>
            </w:tcBorders>
            <w:shd w:val="clear" w:color="auto" w:fill="DBDBDB"/>
          </w:tcPr>
          <w:p>
            <w:pPr>
              <w:spacing w:after="0"/>
              <w:rPr>
                <w:sz w:val="18"/>
                <w:szCs w:val="18"/>
                <w:color w:val="auto"/>
              </w:rPr>
            </w:pPr>
          </w:p>
        </w:tc>
        <w:tc>
          <w:tcPr>
            <w:tcW w:w="6140" w:type="dxa"/>
            <w:vAlign w:val="bottom"/>
            <w:tcBorders>
              <w:top w:val="single" w:sz="8" w:color="DBDBDB"/>
            </w:tcBorders>
            <w:gridSpan w:val="4"/>
            <w:shd w:val="clear" w:color="auto" w:fill="DBDBDB"/>
          </w:tcPr>
          <w:p>
            <w:pPr>
              <w:spacing w:after="0"/>
              <w:rPr>
                <w:sz w:val="20"/>
                <w:szCs w:val="20"/>
                <w:color w:val="auto"/>
              </w:rPr>
            </w:pPr>
            <w:r>
              <w:rPr>
                <w:rFonts w:ascii="Arial" w:cs="Arial" w:eastAsia="Arial" w:hAnsi="Arial"/>
                <w:sz w:val="14"/>
                <w:szCs w:val="14"/>
                <w:b w:val="1"/>
                <w:bCs w:val="1"/>
                <w:color w:val="auto"/>
              </w:rPr>
              <w:t>Selected Production, Price Information and Results of Operations</w:t>
            </w:r>
          </w:p>
        </w:tc>
        <w:tc>
          <w:tcPr>
            <w:tcW w:w="24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1st Quarter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color w:val="auto"/>
              </w:rPr>
              <w:t>4th Quarter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614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in millions)</w:t>
            </w:r>
          </w:p>
        </w:tc>
        <w:tc>
          <w:tcPr>
            <w:tcW w:w="248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w w:val="96"/>
              </w:rPr>
              <w:t>2023</w:t>
            </w:r>
          </w:p>
        </w:tc>
      </w:tr>
      <w:tr>
        <w:trPr>
          <w:trHeight w:val="432"/>
        </w:trPr>
        <w:tc>
          <w:tcPr>
            <w:tcW w:w="20" w:type="dxa"/>
            <w:vAlign w:val="bottom"/>
          </w:tcPr>
          <w:p>
            <w:pPr>
              <w:spacing w:after="0"/>
              <w:rPr>
                <w:sz w:val="24"/>
                <w:szCs w:val="24"/>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Average net oil production per day (MBbl/d)</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0"/>
        </w:trPr>
        <w:tc>
          <w:tcPr>
            <w:tcW w:w="20" w:type="dxa"/>
            <w:vAlign w:val="bottom"/>
          </w:tcPr>
          <w:p>
            <w:pPr>
              <w:spacing w:after="0"/>
              <w:rPr>
                <w:sz w:val="17"/>
                <w:szCs w:val="17"/>
                <w:color w:val="auto"/>
              </w:rPr>
            </w:pPr>
          </w:p>
        </w:tc>
        <w:tc>
          <w:tcPr>
            <w:tcW w:w="6140" w:type="dxa"/>
            <w:vAlign w:val="bottom"/>
            <w:gridSpan w:val="4"/>
          </w:tcPr>
          <w:p>
            <w:pPr>
              <w:ind w:left="220"/>
              <w:spacing w:after="0"/>
              <w:rPr>
                <w:sz w:val="20"/>
                <w:szCs w:val="20"/>
                <w:color w:val="auto"/>
              </w:rPr>
            </w:pPr>
            <w:r>
              <w:rPr>
                <w:rFonts w:ascii="Arial" w:cs="Arial" w:eastAsia="Arial" w:hAnsi="Arial"/>
                <w:sz w:val="14"/>
                <w:szCs w:val="14"/>
                <w:color w:val="auto"/>
              </w:rPr>
              <w:t>Realized oil price with derivative settlements ($ per Bbl)</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77.17</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71.34</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Average net NGL production per day (MBbl/d)</w:t>
            </w: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20" w:type="dxa"/>
            <w:vAlign w:val="bottom"/>
          </w:tcPr>
          <w:p>
            <w:pPr>
              <w:spacing w:after="0"/>
              <w:rPr>
                <w:sz w:val="17"/>
                <w:szCs w:val="17"/>
                <w:color w:val="auto"/>
              </w:rPr>
            </w:pPr>
          </w:p>
        </w:tc>
        <w:tc>
          <w:tcPr>
            <w:tcW w:w="6140" w:type="dxa"/>
            <w:vAlign w:val="bottom"/>
            <w:gridSpan w:val="4"/>
          </w:tcPr>
          <w:p>
            <w:pPr>
              <w:ind w:left="220"/>
              <w:spacing w:after="0"/>
              <w:rPr>
                <w:sz w:val="20"/>
                <w:szCs w:val="20"/>
                <w:color w:val="auto"/>
              </w:rPr>
            </w:pPr>
            <w:r>
              <w:rPr>
                <w:rFonts w:ascii="Arial" w:cs="Arial" w:eastAsia="Arial" w:hAnsi="Arial"/>
                <w:sz w:val="14"/>
                <w:szCs w:val="14"/>
                <w:color w:val="auto"/>
              </w:rPr>
              <w:t>Realized NGL price ($ per Bbl)</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50.50</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49.08</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Average net natural gas production per day (Mmcf/d)</w:t>
            </w: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0"/>
        </w:trPr>
        <w:tc>
          <w:tcPr>
            <w:tcW w:w="20" w:type="dxa"/>
            <w:vAlign w:val="bottom"/>
          </w:tcPr>
          <w:p>
            <w:pPr>
              <w:spacing w:after="0"/>
              <w:rPr>
                <w:sz w:val="17"/>
                <w:szCs w:val="17"/>
                <w:color w:val="auto"/>
              </w:rPr>
            </w:pPr>
          </w:p>
        </w:tc>
        <w:tc>
          <w:tcPr>
            <w:tcW w:w="6140" w:type="dxa"/>
            <w:vAlign w:val="bottom"/>
            <w:gridSpan w:val="4"/>
          </w:tcPr>
          <w:p>
            <w:pPr>
              <w:ind w:left="220"/>
              <w:spacing w:after="0"/>
              <w:rPr>
                <w:sz w:val="20"/>
                <w:szCs w:val="20"/>
                <w:color w:val="auto"/>
              </w:rPr>
            </w:pPr>
            <w:r>
              <w:rPr>
                <w:rFonts w:ascii="Arial" w:cs="Arial" w:eastAsia="Arial" w:hAnsi="Arial"/>
                <w:sz w:val="14"/>
                <w:szCs w:val="14"/>
                <w:color w:val="auto"/>
              </w:rPr>
              <w:t>Realized natural gas price with derivative settlements ($ per Mcf)</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Average net total production per day (MBoe/d)</w:t>
            </w: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453"/>
        </w:trPr>
        <w:tc>
          <w:tcPr>
            <w:tcW w:w="20" w:type="dxa"/>
            <w:vAlign w:val="bottom"/>
          </w:tcPr>
          <w:p>
            <w:pPr>
              <w:spacing w:after="0"/>
              <w:rPr>
                <w:sz w:val="24"/>
                <w:szCs w:val="24"/>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Margin from marketing of purchased commodities ($ millions)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Margin from electricity sales ($ millions)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1"/>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Net gain (loss) from oil commodity derivatives ($ millions)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360"/>
        </w:trPr>
        <w:tc>
          <w:tcPr>
            <w:tcW w:w="20" w:type="dxa"/>
            <w:vAlign w:val="bottom"/>
            <w:tcBorders>
              <w:bottom w:val="single" w:sz="8" w:color="DBDBDB"/>
            </w:tcBorders>
          </w:tcPr>
          <w:p>
            <w:pPr>
              <w:spacing w:after="0"/>
              <w:rPr>
                <w:sz w:val="24"/>
                <w:szCs w:val="24"/>
                <w:color w:val="auto"/>
              </w:rPr>
            </w:pPr>
          </w:p>
        </w:tc>
        <w:tc>
          <w:tcPr>
            <w:tcW w:w="1300" w:type="dxa"/>
            <w:vAlign w:val="bottom"/>
            <w:tcBorders>
              <w:bottom w:val="single" w:sz="8" w:color="DBDBDB"/>
            </w:tcBorders>
          </w:tcPr>
          <w:p>
            <w:pPr>
              <w:spacing w:after="0"/>
              <w:rPr>
                <w:sz w:val="24"/>
                <w:szCs w:val="24"/>
                <w:color w:val="auto"/>
              </w:rPr>
            </w:pPr>
          </w:p>
        </w:tc>
        <w:tc>
          <w:tcPr>
            <w:tcW w:w="480" w:type="dxa"/>
            <w:vAlign w:val="bottom"/>
            <w:tcBorders>
              <w:bottom w:val="single" w:sz="8" w:color="DBDBDB"/>
            </w:tcBorders>
          </w:tcPr>
          <w:p>
            <w:pPr>
              <w:spacing w:after="0"/>
              <w:rPr>
                <w:sz w:val="24"/>
                <w:szCs w:val="24"/>
                <w:color w:val="auto"/>
              </w:rPr>
            </w:pPr>
          </w:p>
        </w:tc>
        <w:tc>
          <w:tcPr>
            <w:tcW w:w="2120" w:type="dxa"/>
            <w:vAlign w:val="bottom"/>
            <w:tcBorders>
              <w:bottom w:val="single" w:sz="8" w:color="DBDBDB"/>
            </w:tcBorders>
          </w:tcPr>
          <w:p>
            <w:pPr>
              <w:spacing w:after="0"/>
              <w:rPr>
                <w:sz w:val="24"/>
                <w:szCs w:val="24"/>
                <w:color w:val="auto"/>
              </w:rPr>
            </w:pPr>
          </w:p>
        </w:tc>
        <w:tc>
          <w:tcPr>
            <w:tcW w:w="2240" w:type="dxa"/>
            <w:vAlign w:val="bottom"/>
            <w:tcBorders>
              <w:bottom w:val="single" w:sz="8" w:color="DBDBDB"/>
            </w:tcBorders>
          </w:tcPr>
          <w:p>
            <w:pPr>
              <w:spacing w:after="0"/>
              <w:rPr>
                <w:sz w:val="24"/>
                <w:szCs w:val="24"/>
                <w:color w:val="auto"/>
              </w:rPr>
            </w:pPr>
          </w:p>
        </w:tc>
        <w:tc>
          <w:tcPr>
            <w:tcW w:w="248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92"/>
        </w:trPr>
        <w:tc>
          <w:tcPr>
            <w:tcW w:w="20" w:type="dxa"/>
            <w:vAlign w:val="bottom"/>
            <w:shd w:val="clear" w:color="auto" w:fill="DBDBDB"/>
          </w:tcPr>
          <w:p>
            <w:pPr>
              <w:spacing w:after="0"/>
              <w:rPr>
                <w:sz w:val="16"/>
                <w:szCs w:val="16"/>
                <w:color w:val="auto"/>
              </w:rPr>
            </w:pPr>
          </w:p>
        </w:tc>
        <w:tc>
          <w:tcPr>
            <w:tcW w:w="6140" w:type="dxa"/>
            <w:vAlign w:val="bottom"/>
            <w:gridSpan w:val="4"/>
            <w:shd w:val="clear" w:color="auto" w:fill="DBDBDB"/>
          </w:tcPr>
          <w:p>
            <w:pPr>
              <w:spacing w:after="0"/>
              <w:rPr>
                <w:sz w:val="20"/>
                <w:szCs w:val="20"/>
                <w:color w:val="auto"/>
              </w:rPr>
            </w:pPr>
            <w:r>
              <w:rPr>
                <w:rFonts w:ascii="Arial" w:cs="Arial" w:eastAsia="Arial" w:hAnsi="Arial"/>
                <w:sz w:val="14"/>
                <w:szCs w:val="14"/>
                <w:b w:val="1"/>
                <w:bCs w:val="1"/>
                <w:color w:val="auto"/>
              </w:rPr>
              <w:t>Selected Financial Statement Data and non-GAAP measures:</w:t>
            </w:r>
          </w:p>
        </w:tc>
        <w:tc>
          <w:tcPr>
            <w:tcW w:w="24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1st Quarter</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89"/>
              <w:spacing w:after="0"/>
              <w:rPr>
                <w:sz w:val="20"/>
                <w:szCs w:val="20"/>
                <w:color w:val="auto"/>
              </w:rPr>
            </w:pPr>
            <w:r>
              <w:rPr>
                <w:rFonts w:ascii="Arial" w:cs="Arial" w:eastAsia="Arial" w:hAnsi="Arial"/>
                <w:sz w:val="14"/>
                <w:szCs w:val="14"/>
                <w:color w:val="auto"/>
              </w:rPr>
              <w:t>4th Quarter</w:t>
            </w: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614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248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8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color w:val="auto"/>
                <w:w w:val="96"/>
              </w:rPr>
              <w:t>2023</w:t>
            </w: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436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Revenues</w:t>
            </w:r>
          </w:p>
        </w:tc>
        <w:tc>
          <w:tcPr>
            <w:tcW w:w="2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6140" w:type="dxa"/>
            <w:vAlign w:val="bottom"/>
            <w:gridSpan w:val="4"/>
          </w:tcPr>
          <w:p>
            <w:pPr>
              <w:ind w:left="200"/>
              <w:spacing w:after="0"/>
              <w:rPr>
                <w:sz w:val="20"/>
                <w:szCs w:val="20"/>
                <w:color w:val="auto"/>
              </w:rPr>
            </w:pPr>
            <w:r>
              <w:rPr>
                <w:rFonts w:ascii="Arial" w:cs="Arial" w:eastAsia="Arial" w:hAnsi="Arial"/>
                <w:sz w:val="14"/>
                <w:szCs w:val="14"/>
                <w:color w:val="auto"/>
              </w:rPr>
              <w:t>Total operating revenues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454</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726</w:t>
            </w:r>
          </w:p>
        </w:tc>
      </w:tr>
      <w:tr>
        <w:trPr>
          <w:trHeight w:val="248"/>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Expenses</w:t>
            </w:r>
          </w:p>
        </w:tc>
        <w:tc>
          <w:tcPr>
            <w:tcW w:w="4840" w:type="dxa"/>
            <w:vAlign w:val="bottom"/>
            <w:gridSpan w:val="3"/>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Operating costs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2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5"/>
        </w:trPr>
        <w:tc>
          <w:tcPr>
            <w:tcW w:w="20" w:type="dxa"/>
            <w:vAlign w:val="bottom"/>
          </w:tcPr>
          <w:p>
            <w:pPr>
              <w:spacing w:after="0"/>
              <w:rPr>
                <w:sz w:val="17"/>
                <w:szCs w:val="17"/>
                <w:color w:val="auto"/>
              </w:rPr>
            </w:pPr>
          </w:p>
        </w:tc>
        <w:tc>
          <w:tcPr>
            <w:tcW w:w="6140" w:type="dxa"/>
            <w:vAlign w:val="bottom"/>
            <w:gridSpan w:val="4"/>
          </w:tcPr>
          <w:p>
            <w:pPr>
              <w:ind w:left="12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49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55</w:t>
            </w:r>
          </w:p>
        </w:tc>
      </w:tr>
      <w:tr>
        <w:trPr>
          <w:trHeight w:val="195"/>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Transportation costs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Operating Income (loss)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Interest and debt expense</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Income tax benefit (provision)</w:t>
            </w:r>
          </w:p>
        </w:tc>
        <w:tc>
          <w:tcPr>
            <w:tcW w:w="24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193"/>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Net (loss) Income</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48"/>
        </w:trPr>
        <w:tc>
          <w:tcPr>
            <w:tcW w:w="20" w:type="dxa"/>
            <w:vAlign w:val="bottom"/>
          </w:tcPr>
          <w:p>
            <w:pPr>
              <w:spacing w:after="0"/>
              <w:rPr>
                <w:sz w:val="21"/>
                <w:szCs w:val="21"/>
                <w:color w:val="auto"/>
              </w:rPr>
            </w:pPr>
          </w:p>
        </w:tc>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EPS, Non-GAAP Measures and Select Balance Sheet Data</w:t>
            </w:r>
          </w:p>
        </w:tc>
        <w:tc>
          <w:tcPr>
            <w:tcW w:w="24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39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2240" w:type="dxa"/>
            <w:vAlign w:val="bottom"/>
          </w:tcPr>
          <w:p>
            <w:pPr>
              <w:spacing w:after="0"/>
              <w:rPr>
                <w:sz w:val="19"/>
                <w:szCs w:val="19"/>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right w:val="single" w:sz="8" w:color="auto"/>
            </w:tcBorders>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5"/>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200"/>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Net loss (income) per share - diluted</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03"/>
        </w:trPr>
        <w:tc>
          <w:tcPr>
            <w:tcW w:w="20" w:type="dxa"/>
            <w:vAlign w:val="bottom"/>
          </w:tcPr>
          <w:p>
            <w:pPr>
              <w:spacing w:after="0"/>
              <w:rPr>
                <w:sz w:val="17"/>
                <w:szCs w:val="17"/>
                <w:color w:val="auto"/>
              </w:rPr>
            </w:pPr>
          </w:p>
        </w:tc>
        <w:tc>
          <w:tcPr>
            <w:tcW w:w="6140" w:type="dxa"/>
            <w:vAlign w:val="bottom"/>
            <w:gridSpan w:val="4"/>
          </w:tcPr>
          <w:p>
            <w:pPr>
              <w:spacing w:after="0" w:line="203"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0.75</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0.93</w:t>
            </w:r>
          </w:p>
        </w:tc>
      </w:tr>
      <w:tr>
        <w:trPr>
          <w:trHeight w:val="202"/>
        </w:trPr>
        <w:tc>
          <w:tcPr>
            <w:tcW w:w="20" w:type="dxa"/>
            <w:vAlign w:val="bottom"/>
          </w:tcPr>
          <w:p>
            <w:pPr>
              <w:spacing w:after="0"/>
              <w:rPr>
                <w:sz w:val="17"/>
                <w:szCs w:val="17"/>
                <w:color w:val="auto"/>
              </w:rPr>
            </w:pPr>
          </w:p>
        </w:tc>
        <w:tc>
          <w:tcPr>
            <w:tcW w:w="6140" w:type="dxa"/>
            <w:vAlign w:val="bottom"/>
            <w:gridSpan w:val="4"/>
          </w:tcPr>
          <w:p>
            <w:pPr>
              <w:spacing w:after="0" w:line="202"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95"/>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05"/>
        </w:trPr>
        <w:tc>
          <w:tcPr>
            <w:tcW w:w="20" w:type="dxa"/>
            <w:vAlign w:val="bottom"/>
          </w:tcPr>
          <w:p>
            <w:pPr>
              <w:spacing w:after="0"/>
              <w:rPr>
                <w:sz w:val="17"/>
                <w:szCs w:val="17"/>
                <w:color w:val="auto"/>
              </w:rPr>
            </w:pPr>
          </w:p>
        </w:tc>
        <w:tc>
          <w:tcPr>
            <w:tcW w:w="6140" w:type="dxa"/>
            <w:vAlign w:val="bottom"/>
            <w:gridSpan w:val="4"/>
          </w:tcPr>
          <w:p>
            <w:pPr>
              <w:spacing w:after="0" w:line="205" w:lineRule="exact"/>
              <w:rPr>
                <w:sz w:val="20"/>
                <w:szCs w:val="20"/>
                <w:color w:val="auto"/>
              </w:rPr>
            </w:pPr>
            <w:r>
              <w:rPr>
                <w:rFonts w:ascii="Arial" w:cs="Arial" w:eastAsia="Arial" w:hAnsi="Arial"/>
                <w:sz w:val="14"/>
                <w:szCs w:val="14"/>
                <w:color w:val="auto"/>
              </w:rPr>
              <w:t>Net cash provided by operating activities before changes in operating assets and liabilities, net</w:t>
            </w:r>
            <w:r>
              <w:rPr>
                <w:rFonts w:ascii="Arial" w:cs="Arial" w:eastAsia="Arial" w:hAnsi="Arial"/>
                <w:sz w:val="18"/>
                <w:szCs w:val="18"/>
                <w:color w:val="auto"/>
                <w:vertAlign w:val="superscript"/>
              </w:rPr>
              <w:t>1</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95"/>
        </w:trPr>
        <w:tc>
          <w:tcPr>
            <w:tcW w:w="20" w:type="dxa"/>
            <w:vAlign w:val="bottom"/>
          </w:tcPr>
          <w:p>
            <w:pPr>
              <w:spacing w:after="0"/>
              <w:rPr>
                <w:sz w:val="16"/>
                <w:szCs w:val="16"/>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Capital investments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right w:val="single" w:sz="8" w:color="auto"/>
            </w:tcBorders>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5"/>
        </w:trPr>
        <w:tc>
          <w:tcPr>
            <w:tcW w:w="20" w:type="dxa"/>
            <w:vAlign w:val="bottom"/>
          </w:tcPr>
          <w:p>
            <w:pPr>
              <w:spacing w:after="0"/>
              <w:rPr>
                <w:sz w:val="17"/>
                <w:szCs w:val="17"/>
                <w:color w:val="auto"/>
              </w:rPr>
            </w:pPr>
          </w:p>
        </w:tc>
        <w:tc>
          <w:tcPr>
            <w:tcW w:w="6140" w:type="dxa"/>
            <w:vAlign w:val="bottom"/>
            <w:gridSpan w:val="4"/>
          </w:tcPr>
          <w:p>
            <w:pPr>
              <w:spacing w:after="0" w:line="205"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96"/>
        </w:trPr>
        <w:tc>
          <w:tcPr>
            <w:tcW w:w="20" w:type="dxa"/>
            <w:vAlign w:val="bottom"/>
          </w:tcPr>
          <w:p>
            <w:pPr>
              <w:spacing w:after="0"/>
              <w:rPr>
                <w:sz w:val="17"/>
                <w:szCs w:val="17"/>
                <w:color w:val="auto"/>
              </w:rPr>
            </w:pPr>
          </w:p>
        </w:tc>
        <w:tc>
          <w:tcPr>
            <w:tcW w:w="6140" w:type="dxa"/>
            <w:vAlign w:val="bottom"/>
            <w:gridSpan w:val="4"/>
          </w:tcPr>
          <w:p>
            <w:pPr>
              <w:spacing w:after="0"/>
              <w:rPr>
                <w:sz w:val="20"/>
                <w:szCs w:val="20"/>
                <w:color w:val="auto"/>
              </w:rPr>
            </w:pPr>
            <w:r>
              <w:rPr>
                <w:rFonts w:ascii="Arial" w:cs="Arial" w:eastAsia="Arial" w:hAnsi="Arial"/>
                <w:sz w:val="14"/>
                <w:szCs w:val="14"/>
                <w:color w:val="auto"/>
              </w:rPr>
              <w:t>Cash and cash equivalents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403</w:t>
            </w:r>
          </w:p>
        </w:tc>
        <w:tc>
          <w:tcPr>
            <w:tcW w:w="120" w:type="dxa"/>
            <w:vAlign w:val="bottom"/>
            <w:tcBorders>
              <w:right w:val="single" w:sz="8" w:color="auto"/>
            </w:tcBorders>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496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Pending Aera Merger</w:t>
      </w:r>
    </w:p>
    <w:p>
      <w:pPr>
        <w:spacing w:after="0" w:line="240" w:lineRule="exact"/>
        <w:rPr>
          <w:sz w:val="20"/>
          <w:szCs w:val="20"/>
          <w:color w:val="auto"/>
        </w:rPr>
      </w:pPr>
    </w:p>
    <w:p>
      <w:pPr>
        <w:ind w:firstLine="320"/>
        <w:spacing w:after="0" w:line="277" w:lineRule="auto"/>
        <w:rPr>
          <w:sz w:val="20"/>
          <w:szCs w:val="20"/>
          <w:color w:val="auto"/>
        </w:rPr>
      </w:pPr>
      <w:r>
        <w:rPr>
          <w:rFonts w:ascii="Arial" w:cs="Arial" w:eastAsia="Arial" w:hAnsi="Arial"/>
          <w:sz w:val="21"/>
          <w:szCs w:val="21"/>
          <w:color w:val="auto"/>
        </w:rPr>
        <w:t>On February 7, 2024, CRC entered into a definitive agreement and plan of merger (Merger Agreement) to combine with Aera in an all-stock transaction with an effective date of January 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146" w:right="339" w:bottom="1440" w:gutter="0" w:footer="0" w:header="0"/>
        </w:sectPr>
      </w:pPr>
    </w:p>
    <w:bookmarkStart w:id="7" w:name="page8"/>
    <w:bookmarkEnd w:id="7"/>
    <w:p>
      <w:pPr>
        <w:jc w:val="both"/>
        <w:spacing w:after="0" w:line="242" w:lineRule="auto"/>
        <w:rPr>
          <w:sz w:val="20"/>
          <w:szCs w:val="20"/>
          <w:color w:val="auto"/>
        </w:rPr>
      </w:pPr>
      <w:r>
        <w:rPr>
          <w:rFonts w:ascii="Arial" w:cs="Arial" w:eastAsia="Arial" w:hAnsi="Arial"/>
          <w:sz w:val="21"/>
          <w:szCs w:val="21"/>
          <w:color w:val="auto"/>
        </w:rPr>
        <w:t>2024. Aera is a leading operator of mature fields in California, primarily in the San Joaquin and Ventura basins, with high oil-weighted production. At closing, Aera's owners will receive 21.2 million shares of CRC's common stock plus an additional number of shares determined by reference to the dividends declared by CRC having a record date between the effective date and closing. CRC also agreed to assume Aera’s outstanding long-term indebtedness of $950 million. CRC expects to repay a significant portion of this indebtedness with cash on hand and borrowings under its revolving credit facility. CRC expects to refinance the balance through one or more debt capital markets transactions and, only to the extent necessary, borrowings under a bridge loan facility.</w:t>
      </w:r>
    </w:p>
    <w:p>
      <w:pPr>
        <w:spacing w:after="0" w:line="215" w:lineRule="exact"/>
        <w:rPr>
          <w:sz w:val="20"/>
          <w:szCs w:val="20"/>
          <w:color w:val="auto"/>
        </w:rPr>
      </w:pPr>
    </w:p>
    <w:p>
      <w:pPr>
        <w:jc w:val="both"/>
        <w:ind w:firstLine="640"/>
        <w:spacing w:after="0" w:line="317" w:lineRule="auto"/>
        <w:rPr>
          <w:sz w:val="20"/>
          <w:szCs w:val="20"/>
          <w:color w:val="auto"/>
        </w:rPr>
      </w:pPr>
      <w:r>
        <w:rPr>
          <w:rFonts w:ascii="Arial" w:cs="Arial" w:eastAsia="Arial" w:hAnsi="Arial"/>
          <w:sz w:val="21"/>
          <w:szCs w:val="21"/>
          <w:color w:val="auto"/>
        </w:rPr>
        <w:t>On March 26, 2024, CRC announced the expiration of the required waiting period under the Hart-Scott-Rodino Antitrust Improvements Act of 1976 with respect to the pending Aera Merger.</w:t>
      </w:r>
    </w:p>
    <w:p>
      <w:pPr>
        <w:spacing w:after="0" w:line="148"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21"/>
          <w:szCs w:val="21"/>
          <w:color w:val="auto"/>
        </w:rPr>
        <w:t>On May 7, 2024, CRC filed the definitive proxy statement for the Aera Merger with the SEC. Closing of the Aera Merger is subject to certain closing conditions, including among others, regulatory approvals and CRC shareholder approval, and is expected to close around mid-year 2024.</w:t>
      </w:r>
    </w:p>
    <w:p>
      <w:pPr>
        <w:spacing w:after="0" w:line="183"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For more information about this transaction please visit: https://www.crc.com/news/news-details/2024/California-Resources-Corporation-to-Combine-with-Aera-Energy/default.aspx</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2024 Capital Outlook, Second Quarter 2024 Guidance and Capital Program</w:t>
      </w:r>
      <w:r>
        <w:rPr>
          <w:rFonts w:ascii="Arial" w:cs="Arial" w:eastAsia="Arial" w:hAnsi="Arial"/>
          <w:sz w:val="27"/>
          <w:szCs w:val="27"/>
          <w:b w:val="1"/>
          <w:bCs w:val="1"/>
          <w:color w:val="auto"/>
          <w:vertAlign w:val="superscript"/>
        </w:rPr>
        <w:t>2</w:t>
      </w:r>
    </w:p>
    <w:p>
      <w:pPr>
        <w:spacing w:after="0" w:line="176"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2024 guidance estimates exclude the pending Aera Merger. The Company intends to update guidance after the transaction closes.</w:t>
      </w:r>
    </w:p>
    <w:p>
      <w:pPr>
        <w:spacing w:after="0" w:line="162"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21"/>
          <w:szCs w:val="21"/>
          <w:color w:val="auto"/>
        </w:rPr>
        <w:t>Following the March 2024 Court of Appeals decision in the Kern County Environmental Impact Report matter, CRC expects its 2024 capital program to range between $200 million and $240 million under current permitting conditions. Of this amount, $165 million to $185 million is related to oil and natural gas development (including $20 million to $25 million for maintenance at CRC’s Elk Hills gas processing plant), $20 million to $25 million is for carbon management projects and $15 million to $30 million is for corporate and other (including $10 million to $15 million related to maintenance at CRC’s Elk Hills power plant). In 2024, CRC expects to run a one rig program while executing projects using existing permits.</w:t>
      </w:r>
    </w:p>
    <w:p>
      <w:pPr>
        <w:spacing w:after="0" w:line="200" w:lineRule="exact"/>
        <w:rPr>
          <w:sz w:val="20"/>
          <w:szCs w:val="20"/>
          <w:color w:val="auto"/>
        </w:rPr>
      </w:pP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227"/>
        </w:trPr>
        <w:tc>
          <w:tcPr>
            <w:tcW w:w="5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2024 PRELIMINARY OUTLOOK</w:t>
            </w:r>
            <w:r>
              <w:rPr>
                <w:rFonts w:ascii="Arial" w:cs="Arial" w:eastAsia="Arial" w:hAnsi="Arial"/>
                <w:sz w:val="18"/>
                <w:szCs w:val="18"/>
                <w:b w:val="1"/>
                <w:bCs w:val="1"/>
                <w:color w:val="auto"/>
                <w:vertAlign w:val="superscript"/>
              </w:rPr>
              <w:t>2</w:t>
            </w:r>
          </w:p>
        </w:tc>
        <w:tc>
          <w:tcPr>
            <w:tcW w:w="242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TOTAL 2024E</w:t>
            </w:r>
          </w:p>
        </w:tc>
      </w:tr>
      <w:tr>
        <w:trPr>
          <w:trHeight w:val="203"/>
        </w:trPr>
        <w:tc>
          <w:tcPr>
            <w:tcW w:w="5780" w:type="dxa"/>
            <w:vAlign w:val="bottom"/>
          </w:tcPr>
          <w:p>
            <w:pPr>
              <w:ind w:left="140"/>
              <w:spacing w:after="0"/>
              <w:rPr>
                <w:sz w:val="20"/>
                <w:szCs w:val="20"/>
                <w:color w:val="auto"/>
              </w:rPr>
            </w:pPr>
            <w:r>
              <w:rPr>
                <w:rFonts w:ascii="Arial" w:cs="Arial" w:eastAsia="Arial" w:hAnsi="Arial"/>
                <w:sz w:val="14"/>
                <w:szCs w:val="14"/>
                <w:color w:val="auto"/>
              </w:rPr>
              <w:t>Net Production (MBoe/d)</w:t>
            </w:r>
          </w:p>
        </w:tc>
        <w:tc>
          <w:tcPr>
            <w:tcW w:w="1440" w:type="dxa"/>
            <w:vAlign w:val="bottom"/>
          </w:tcPr>
          <w:p>
            <w:pPr>
              <w:jc w:val="right"/>
              <w:spacing w:after="0"/>
              <w:rPr>
                <w:sz w:val="20"/>
                <w:szCs w:val="20"/>
                <w:color w:val="auto"/>
              </w:rPr>
            </w:pPr>
            <w:r>
              <w:rPr>
                <w:rFonts w:ascii="Arial" w:cs="Arial" w:eastAsia="Arial" w:hAnsi="Arial"/>
                <w:sz w:val="14"/>
                <w:szCs w:val="14"/>
                <w:color w:val="auto"/>
              </w:rPr>
              <w:t>75</w:t>
            </w:r>
          </w:p>
        </w:tc>
        <w:tc>
          <w:tcPr>
            <w:tcW w:w="980" w:type="dxa"/>
            <w:vAlign w:val="bottom"/>
          </w:tcPr>
          <w:p>
            <w:pPr>
              <w:ind w:left="20"/>
              <w:spacing w:after="0"/>
              <w:rPr>
                <w:sz w:val="20"/>
                <w:szCs w:val="20"/>
                <w:color w:val="auto"/>
              </w:rPr>
            </w:pPr>
            <w:r>
              <w:rPr>
                <w:rFonts w:ascii="Arial" w:cs="Arial" w:eastAsia="Arial" w:hAnsi="Arial"/>
                <w:sz w:val="14"/>
                <w:szCs w:val="14"/>
                <w:color w:val="auto"/>
              </w:rPr>
              <w:t>- 79</w:t>
            </w:r>
          </w:p>
        </w:tc>
      </w:tr>
      <w:tr>
        <w:trPr>
          <w:trHeight w:val="217"/>
        </w:trPr>
        <w:tc>
          <w:tcPr>
            <w:tcW w:w="57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Oil Production (%)</w:t>
            </w:r>
          </w:p>
        </w:tc>
        <w:tc>
          <w:tcPr>
            <w:tcW w:w="2420" w:type="dxa"/>
            <w:vAlign w:val="bottom"/>
            <w:gridSpan w:val="2"/>
            <w:shd w:val="clear" w:color="auto" w:fill="DBDBDB"/>
          </w:tcPr>
          <w:p>
            <w:pPr>
              <w:jc w:val="center"/>
              <w:ind w:left="489"/>
              <w:spacing w:after="0"/>
              <w:rPr>
                <w:sz w:val="20"/>
                <w:szCs w:val="20"/>
                <w:color w:val="auto"/>
              </w:rPr>
            </w:pPr>
            <w:r>
              <w:rPr>
                <w:rFonts w:ascii="Arial" w:cs="Arial" w:eastAsia="Arial" w:hAnsi="Arial"/>
                <w:sz w:val="14"/>
                <w:szCs w:val="14"/>
                <w:color w:val="auto"/>
              </w:rPr>
              <w:t>~61%</w:t>
            </w:r>
          </w:p>
        </w:tc>
      </w:tr>
      <w:tr>
        <w:trPr>
          <w:trHeight w:val="210"/>
        </w:trPr>
        <w:tc>
          <w:tcPr>
            <w:tcW w:w="578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440" w:type="dxa"/>
            <w:vAlign w:val="bottom"/>
          </w:tcPr>
          <w:p>
            <w:pPr>
              <w:jc w:val="right"/>
              <w:spacing w:after="0"/>
              <w:rPr>
                <w:sz w:val="20"/>
                <w:szCs w:val="20"/>
                <w:color w:val="auto"/>
              </w:rPr>
            </w:pPr>
            <w:r>
              <w:rPr>
                <w:rFonts w:ascii="Arial" w:cs="Arial" w:eastAsia="Arial" w:hAnsi="Arial"/>
                <w:sz w:val="14"/>
                <w:szCs w:val="14"/>
                <w:color w:val="auto"/>
              </w:rPr>
              <w:t>$200</w:t>
            </w:r>
          </w:p>
        </w:tc>
        <w:tc>
          <w:tcPr>
            <w:tcW w:w="980" w:type="dxa"/>
            <w:vAlign w:val="bottom"/>
          </w:tcPr>
          <w:p>
            <w:pPr>
              <w:ind w:left="20"/>
              <w:spacing w:after="0"/>
              <w:rPr>
                <w:sz w:val="20"/>
                <w:szCs w:val="20"/>
                <w:color w:val="auto"/>
              </w:rPr>
            </w:pPr>
            <w:r>
              <w:rPr>
                <w:rFonts w:ascii="Arial" w:cs="Arial" w:eastAsia="Arial" w:hAnsi="Arial"/>
                <w:sz w:val="14"/>
                <w:szCs w:val="14"/>
                <w:color w:val="auto"/>
              </w:rPr>
              <w:t>- $240</w:t>
            </w:r>
          </w:p>
        </w:tc>
      </w:tr>
      <w:tr>
        <w:trPr>
          <w:trHeight w:val="217"/>
        </w:trPr>
        <w:tc>
          <w:tcPr>
            <w:tcW w:w="57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Drilling &amp; completions, workover ($ millions)</w:t>
            </w:r>
          </w:p>
        </w:tc>
        <w:tc>
          <w:tcPr>
            <w:tcW w:w="2420" w:type="dxa"/>
            <w:vAlign w:val="bottom"/>
            <w:gridSpan w:val="2"/>
            <w:shd w:val="clear" w:color="auto" w:fill="DBDBDB"/>
          </w:tcPr>
          <w:p>
            <w:pPr>
              <w:jc w:val="center"/>
              <w:ind w:left="489"/>
              <w:spacing w:after="0"/>
              <w:rPr>
                <w:sz w:val="20"/>
                <w:szCs w:val="20"/>
                <w:color w:val="auto"/>
              </w:rPr>
            </w:pPr>
            <w:r>
              <w:rPr>
                <w:rFonts w:ascii="Arial" w:cs="Arial" w:eastAsia="Arial" w:hAnsi="Arial"/>
                <w:sz w:val="14"/>
                <w:szCs w:val="14"/>
                <w:i w:val="1"/>
                <w:iCs w:val="1"/>
                <w:color w:val="auto"/>
                <w:w w:val="98"/>
              </w:rPr>
              <w:t>$100 - $110</w:t>
            </w:r>
          </w:p>
        </w:tc>
      </w:tr>
      <w:tr>
        <w:trPr>
          <w:trHeight w:val="210"/>
        </w:trPr>
        <w:tc>
          <w:tcPr>
            <w:tcW w:w="578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144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$50</w:t>
            </w:r>
          </w:p>
        </w:tc>
      </w:tr>
      <w:tr>
        <w:trPr>
          <w:trHeight w:val="217"/>
        </w:trPr>
        <w:tc>
          <w:tcPr>
            <w:tcW w:w="57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Maintenance of gas processing and power plants at Elk Hills ($ millions)</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$30</w:t>
            </w:r>
          </w:p>
        </w:tc>
        <w:tc>
          <w:tcPr>
            <w:tcW w:w="98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$40</w:t>
            </w:r>
          </w:p>
        </w:tc>
      </w:tr>
      <w:tr>
        <w:trPr>
          <w:trHeight w:val="210"/>
        </w:trPr>
        <w:tc>
          <w:tcPr>
            <w:tcW w:w="578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2420" w:type="dxa"/>
            <w:vAlign w:val="bottom"/>
            <w:gridSpan w:val="2"/>
          </w:tcPr>
          <w:p>
            <w:pPr>
              <w:jc w:val="center"/>
              <w:ind w:left="469"/>
              <w:spacing w:after="0"/>
              <w:rPr>
                <w:sz w:val="20"/>
                <w:szCs w:val="20"/>
                <w:color w:val="auto"/>
              </w:rPr>
            </w:pPr>
            <w:r>
              <w:rPr>
                <w:rFonts w:ascii="Arial" w:cs="Arial" w:eastAsia="Arial" w:hAnsi="Arial"/>
                <w:sz w:val="14"/>
                <w:szCs w:val="14"/>
                <w:i w:val="1"/>
                <w:iCs w:val="1"/>
                <w:color w:val="auto"/>
              </w:rPr>
              <w:t>$20- $25</w:t>
            </w:r>
          </w:p>
        </w:tc>
      </w:tr>
      <w:tr>
        <w:trPr>
          <w:trHeight w:val="217"/>
        </w:trPr>
        <w:tc>
          <w:tcPr>
            <w:tcW w:w="57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Corporate &amp; other ($ millions)</w:t>
            </w:r>
          </w:p>
        </w:tc>
        <w:tc>
          <w:tcPr>
            <w:tcW w:w="2420" w:type="dxa"/>
            <w:vAlign w:val="bottom"/>
            <w:gridSpan w:val="2"/>
            <w:shd w:val="clear" w:color="auto" w:fill="DBDBDB"/>
          </w:tcPr>
          <w:p>
            <w:pPr>
              <w:jc w:val="center"/>
              <w:ind w:left="469"/>
              <w:spacing w:after="0"/>
              <w:rPr>
                <w:sz w:val="20"/>
                <w:szCs w:val="20"/>
                <w:color w:val="auto"/>
              </w:rPr>
            </w:pPr>
            <w:r>
              <w:rPr>
                <w:rFonts w:ascii="Arial" w:cs="Arial" w:eastAsia="Arial" w:hAnsi="Arial"/>
                <w:sz w:val="14"/>
                <w:szCs w:val="14"/>
                <w:i w:val="1"/>
                <w:iCs w:val="1"/>
                <w:color w:val="auto"/>
              </w:rPr>
              <w:t>$5 - $15</w:t>
            </w:r>
          </w:p>
        </w:tc>
      </w:tr>
    </w:tbl>
    <w:p>
      <w:pPr>
        <w:spacing w:after="0" w:line="307"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CRC expects its second quarter capital program to range between $50 million to $57 million. The program includes capital of $45 million to $49 million related to oil and natural gas development (including $4 million to $8 million related to maintenance at CRC’s Elk Hills gas processing plant), $3 million to $5 million related to carbon management projects and $2 million to $3 million related to corporate and other activities.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0"/>
        <w:spacing w:after="0" w:line="258" w:lineRule="auto"/>
        <w:rPr>
          <w:sz w:val="20"/>
          <w:szCs w:val="20"/>
          <w:color w:val="auto"/>
        </w:rPr>
      </w:pPr>
      <w:r>
        <w:rPr>
          <w:rFonts w:ascii="Arial" w:cs="Arial" w:eastAsia="Arial" w:hAnsi="Arial"/>
          <w:sz w:val="21"/>
          <w:szCs w:val="21"/>
          <w:color w:val="auto"/>
        </w:rPr>
        <w:t>CRC expects to produce 74 to 78 MBoe/d (~61% oil) in the second quarter of 2024. The table below provides highlights of the Company's second quarter 2024 guidance. See Attachment 2 for complete information on CRC's second quarter 2024 guidance.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Borders>
              <w:top w:val="single" w:sz="8" w:color="auto"/>
            </w:tcBorders>
          </w:tcPr>
          <w:p>
            <w:pPr>
              <w:ind w:left="20"/>
              <w:spacing w:after="0" w:line="188" w:lineRule="exact"/>
              <w:rPr>
                <w:sz w:val="20"/>
                <w:szCs w:val="20"/>
                <w:color w:val="auto"/>
              </w:rPr>
            </w:pPr>
            <w:r>
              <w:rPr>
                <w:rFonts w:ascii="Arial" w:cs="Arial" w:eastAsia="Arial" w:hAnsi="Arial"/>
                <w:sz w:val="14"/>
                <w:szCs w:val="14"/>
                <w:b w:val="1"/>
                <w:bCs w:val="1"/>
                <w:color w:val="auto"/>
              </w:rPr>
              <w:t>CRC GUIDANCE</w:t>
            </w:r>
            <w:r>
              <w:rPr>
                <w:rFonts w:ascii="Arial" w:cs="Arial" w:eastAsia="Arial" w:hAnsi="Arial"/>
                <w:sz w:val="21"/>
                <w:szCs w:val="21"/>
                <w:b w:val="1"/>
                <w:bCs w:val="1"/>
                <w:color w:val="auto"/>
                <w:vertAlign w:val="superscript"/>
              </w:rPr>
              <w:t>2</w:t>
            </w:r>
          </w:p>
        </w:tc>
        <w:tc>
          <w:tcPr>
            <w:tcW w:w="2280" w:type="dxa"/>
            <w:vAlign w:val="bottom"/>
            <w:tcBorders>
              <w:top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529"/>
              <w:spacing w:after="0"/>
              <w:rPr>
                <w:sz w:val="20"/>
                <w:szCs w:val="20"/>
                <w:color w:val="auto"/>
              </w:rPr>
            </w:pPr>
            <w:r>
              <w:rPr>
                <w:rFonts w:ascii="Arial" w:cs="Arial" w:eastAsia="Arial" w:hAnsi="Arial"/>
                <w:sz w:val="14"/>
                <w:szCs w:val="14"/>
                <w:b w:val="1"/>
                <w:bCs w:val="1"/>
                <w:color w:val="auto"/>
              </w:rPr>
              <w:t>CMB</w:t>
            </w:r>
          </w:p>
        </w:tc>
        <w:tc>
          <w:tcPr>
            <w:tcW w:w="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E&amp;P, Corp. &amp; Other</w:t>
            </w:r>
          </w:p>
        </w:tc>
      </w:tr>
      <w:tr>
        <w:trPr>
          <w:trHeight w:val="203"/>
        </w:trPr>
        <w:tc>
          <w:tcPr>
            <w:tcW w:w="5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center"/>
              <w:ind w:left="729"/>
              <w:spacing w:after="0"/>
              <w:rPr>
                <w:sz w:val="20"/>
                <w:szCs w:val="20"/>
                <w:color w:val="auto"/>
              </w:rPr>
            </w:pPr>
            <w:r>
              <w:rPr>
                <w:rFonts w:ascii="Arial" w:cs="Arial" w:eastAsia="Arial" w:hAnsi="Arial"/>
                <w:sz w:val="14"/>
                <w:szCs w:val="14"/>
                <w:b w:val="1"/>
                <w:bCs w:val="1"/>
                <w:color w:val="auto"/>
              </w:rPr>
              <w:t>2Q24E</w:t>
            </w:r>
          </w:p>
        </w:tc>
        <w:tc>
          <w:tcPr>
            <w:tcW w:w="300" w:type="dxa"/>
            <w:vAlign w:val="bottom"/>
          </w:tcPr>
          <w:p>
            <w:pPr>
              <w:spacing w:after="0"/>
              <w:rPr>
                <w:sz w:val="17"/>
                <w:szCs w:val="17"/>
                <w:color w:val="auto"/>
              </w:rPr>
            </w:pPr>
          </w:p>
        </w:tc>
        <w:tc>
          <w:tcPr>
            <w:tcW w:w="154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4"/>
                <w:szCs w:val="14"/>
                <w:b w:val="1"/>
                <w:bCs w:val="1"/>
                <w:color w:val="auto"/>
              </w:rPr>
              <w:t>2Q24E</w:t>
            </w:r>
          </w:p>
        </w:tc>
        <w:tc>
          <w:tcPr>
            <w:tcW w:w="28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2Q24E</w:t>
            </w: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Net Production (MBoe/d)</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w:t>
            </w:r>
          </w:p>
        </w:tc>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- 78</w:t>
            </w:r>
          </w:p>
        </w:tc>
        <w:tc>
          <w:tcPr>
            <w:tcW w:w="300" w:type="dxa"/>
            <w:vAlign w:val="bottom"/>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w:t>
            </w:r>
          </w:p>
        </w:tc>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- 78</w:t>
            </w:r>
          </w:p>
        </w:tc>
      </w:tr>
      <w:tr>
        <w:trPr>
          <w:trHeight w:val="193"/>
        </w:trPr>
        <w:tc>
          <w:tcPr>
            <w:tcW w:w="5300" w:type="dxa"/>
            <w:vAlign w:val="bottom"/>
          </w:tcPr>
          <w:p>
            <w:pPr>
              <w:ind w:left="140"/>
              <w:spacing w:after="0"/>
              <w:rPr>
                <w:sz w:val="20"/>
                <w:szCs w:val="20"/>
                <w:color w:val="auto"/>
              </w:rPr>
            </w:pPr>
            <w:r>
              <w:rPr>
                <w:rFonts w:ascii="Arial" w:cs="Arial" w:eastAsia="Arial" w:hAnsi="Arial"/>
                <w:sz w:val="14"/>
                <w:szCs w:val="14"/>
                <w:color w:val="auto"/>
              </w:rPr>
              <w:t>CMB Expenses and Operating Costs ($ millions)</w:t>
            </w:r>
          </w:p>
        </w:tc>
        <w:tc>
          <w:tcPr>
            <w:tcW w:w="1500" w:type="dxa"/>
            <w:vAlign w:val="bottom"/>
          </w:tcPr>
          <w:p>
            <w:pPr>
              <w:jc w:val="right"/>
              <w:spacing w:after="0"/>
              <w:rPr>
                <w:sz w:val="20"/>
                <w:szCs w:val="20"/>
                <w:color w:val="auto"/>
              </w:rPr>
            </w:pPr>
            <w:r>
              <w:rPr>
                <w:rFonts w:ascii="Arial" w:cs="Arial" w:eastAsia="Arial" w:hAnsi="Arial"/>
                <w:sz w:val="14"/>
                <w:szCs w:val="14"/>
                <w:color w:val="auto"/>
              </w:rPr>
              <w:t>$170</w:t>
            </w:r>
          </w:p>
        </w:tc>
        <w:tc>
          <w:tcPr>
            <w:tcW w:w="780" w:type="dxa"/>
            <w:vAlign w:val="bottom"/>
          </w:tcPr>
          <w:p>
            <w:pPr>
              <w:ind w:left="20"/>
              <w:spacing w:after="0"/>
              <w:rPr>
                <w:sz w:val="20"/>
                <w:szCs w:val="20"/>
                <w:color w:val="auto"/>
              </w:rPr>
            </w:pPr>
            <w:r>
              <w:rPr>
                <w:rFonts w:ascii="Arial" w:cs="Arial" w:eastAsia="Arial" w:hAnsi="Arial"/>
                <w:sz w:val="14"/>
                <w:szCs w:val="14"/>
                <w:color w:val="auto"/>
              </w:rPr>
              <w:t>- $183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00" w:type="dxa"/>
            <w:vAlign w:val="bottom"/>
          </w:tcPr>
          <w:p>
            <w:pPr>
              <w:jc w:val="right"/>
              <w:ind w:right="389"/>
              <w:spacing w:after="0"/>
              <w:rPr>
                <w:sz w:val="20"/>
                <w:szCs w:val="20"/>
                <w:color w:val="auto"/>
              </w:rPr>
            </w:pPr>
            <w:r>
              <w:rPr>
                <w:rFonts w:ascii="Arial" w:cs="Arial" w:eastAsia="Arial" w:hAnsi="Arial"/>
                <w:sz w:val="14"/>
                <w:szCs w:val="14"/>
                <w:color w:val="auto"/>
              </w:rPr>
              <w:t>- $13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$160</w:t>
            </w:r>
          </w:p>
        </w:tc>
        <w:tc>
          <w:tcPr>
            <w:tcW w:w="820" w:type="dxa"/>
            <w:vAlign w:val="bottom"/>
          </w:tcPr>
          <w:p>
            <w:pPr>
              <w:ind w:left="20"/>
              <w:spacing w:after="0"/>
              <w:rPr>
                <w:sz w:val="20"/>
                <w:szCs w:val="20"/>
                <w:color w:val="auto"/>
              </w:rPr>
            </w:pPr>
            <w:r>
              <w:rPr>
                <w:rFonts w:ascii="Arial" w:cs="Arial" w:eastAsia="Arial" w:hAnsi="Arial"/>
                <w:sz w:val="14"/>
                <w:szCs w:val="14"/>
                <w:color w:val="auto"/>
              </w:rPr>
              <w:t>- $170</w:t>
            </w:r>
          </w:p>
        </w:tc>
      </w:tr>
      <w:tr>
        <w:trPr>
          <w:trHeight w:val="21"/>
        </w:trPr>
        <w:tc>
          <w:tcPr>
            <w:tcW w:w="5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$56</w:t>
            </w:r>
          </w:p>
        </w:tc>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$64</w:t>
            </w:r>
          </w:p>
        </w:tc>
        <w:tc>
          <w:tcPr>
            <w:tcW w:w="300" w:type="dxa"/>
            <w:vAlign w:val="bottom"/>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DBDBDB"/>
            </w:tcBorders>
            <w:shd w:val="clear" w:color="auto" w:fill="DBDBDB"/>
          </w:tcPr>
          <w:p>
            <w:pPr>
              <w:jc w:val="right"/>
              <w:ind w:right="469"/>
              <w:spacing w:after="0"/>
              <w:rPr>
                <w:sz w:val="20"/>
                <w:szCs w:val="20"/>
                <w:color w:val="auto"/>
              </w:rPr>
            </w:pPr>
            <w:r>
              <w:rPr>
                <w:rFonts w:ascii="Arial" w:cs="Arial" w:eastAsia="Arial" w:hAnsi="Arial"/>
                <w:sz w:val="14"/>
                <w:szCs w:val="14"/>
                <w:color w:val="auto"/>
                <w:w w:val="99"/>
              </w:rPr>
              <w:t>- $3</w:t>
            </w:r>
          </w:p>
        </w:tc>
        <w:tc>
          <w:tcPr>
            <w:tcW w:w="280" w:type="dxa"/>
            <w:vAlign w:val="bottom"/>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$61</w:t>
            </w:r>
          </w:p>
        </w:tc>
      </w:tr>
      <w:tr>
        <w:trPr>
          <w:trHeight w:val="213"/>
        </w:trPr>
        <w:tc>
          <w:tcPr>
            <w:tcW w:w="5300" w:type="dxa"/>
            <w:vAlign w:val="bottom"/>
          </w:tcPr>
          <w:p>
            <w:pPr>
              <w:ind w:left="420"/>
              <w:spacing w:after="0"/>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 millions)</w:t>
            </w: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$49</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$57</w:t>
            </w:r>
          </w:p>
        </w:tc>
        <w:tc>
          <w:tcPr>
            <w:tcW w:w="1040" w:type="dxa"/>
            <w:vAlign w:val="bottom"/>
            <w:gridSpan w:val="2"/>
          </w:tcPr>
          <w:p>
            <w:pPr>
              <w:jc w:val="right"/>
              <w:spacing w:after="0"/>
              <w:rPr>
                <w:sz w:val="20"/>
                <w:szCs w:val="20"/>
                <w:color w:val="auto"/>
              </w:rPr>
            </w:pPr>
            <w:r>
              <w:rPr>
                <w:rFonts w:ascii="Arial" w:cs="Arial" w:eastAsia="Arial" w:hAnsi="Arial"/>
                <w:sz w:val="14"/>
                <w:szCs w:val="14"/>
                <w:i w:val="1"/>
                <w:iCs w:val="1"/>
                <w:color w:val="auto"/>
              </w:rPr>
              <w:t>$1</w:t>
            </w:r>
          </w:p>
        </w:tc>
        <w:tc>
          <w:tcPr>
            <w:tcW w:w="800" w:type="dxa"/>
            <w:vAlign w:val="bottom"/>
          </w:tcPr>
          <w:p>
            <w:pPr>
              <w:jc w:val="right"/>
              <w:ind w:right="469"/>
              <w:spacing w:after="0"/>
              <w:rPr>
                <w:sz w:val="20"/>
                <w:szCs w:val="20"/>
                <w:color w:val="auto"/>
              </w:rPr>
            </w:pPr>
            <w:r>
              <w:rPr>
                <w:rFonts w:ascii="Arial" w:cs="Arial" w:eastAsia="Arial" w:hAnsi="Arial"/>
                <w:sz w:val="14"/>
                <w:szCs w:val="14"/>
                <w:i w:val="1"/>
                <w:iCs w:val="1"/>
                <w:color w:val="auto"/>
                <w:w w:val="99"/>
              </w:rPr>
              <w:t>- $3</w:t>
            </w:r>
          </w:p>
        </w:tc>
        <w:tc>
          <w:tcPr>
            <w:tcW w:w="1000" w:type="dxa"/>
            <w:vAlign w:val="bottom"/>
            <w:gridSpan w:val="2"/>
          </w:tcPr>
          <w:p>
            <w:pPr>
              <w:jc w:val="right"/>
              <w:spacing w:after="0"/>
              <w:rPr>
                <w:sz w:val="20"/>
                <w:szCs w:val="20"/>
                <w:color w:val="auto"/>
              </w:rPr>
            </w:pPr>
            <w:r>
              <w:rPr>
                <w:rFonts w:ascii="Arial" w:cs="Arial" w:eastAsia="Arial" w:hAnsi="Arial"/>
                <w:sz w:val="14"/>
                <w:szCs w:val="14"/>
                <w:i w:val="1"/>
                <w:iCs w:val="1"/>
                <w:color w:val="auto"/>
              </w:rPr>
              <w:t>$48</w:t>
            </w:r>
          </w:p>
        </w:tc>
        <w:tc>
          <w:tcPr>
            <w:tcW w:w="820" w:type="dxa"/>
            <w:vAlign w:val="bottom"/>
          </w:tcPr>
          <w:p>
            <w:pPr>
              <w:ind w:left="20"/>
              <w:spacing w:after="0"/>
              <w:rPr>
                <w:sz w:val="20"/>
                <w:szCs w:val="20"/>
                <w:color w:val="auto"/>
              </w:rPr>
            </w:pPr>
            <w:r>
              <w:rPr>
                <w:rFonts w:ascii="Arial" w:cs="Arial" w:eastAsia="Arial" w:hAnsi="Arial"/>
                <w:sz w:val="14"/>
                <w:szCs w:val="14"/>
                <w:i w:val="1"/>
                <w:iCs w:val="1"/>
                <w:color w:val="auto"/>
              </w:rPr>
              <w:t>- $54</w:t>
            </w:r>
          </w:p>
        </w:tc>
      </w:tr>
      <w:tr>
        <w:trPr>
          <w:trHeight w:val="193"/>
        </w:trPr>
        <w:tc>
          <w:tcPr>
            <w:tcW w:w="53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Capital ($ millions)</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$57</w:t>
            </w:r>
          </w:p>
        </w:tc>
        <w:tc>
          <w:tcPr>
            <w:tcW w:w="300" w:type="dxa"/>
            <w:vAlign w:val="bottom"/>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800" w:type="dxa"/>
            <w:vAlign w:val="bottom"/>
            <w:tcBorders>
              <w:bottom w:val="single" w:sz="8" w:color="DBDBDB"/>
            </w:tcBorders>
            <w:shd w:val="clear" w:color="auto" w:fill="DBDBDB"/>
          </w:tcPr>
          <w:p>
            <w:pPr>
              <w:jc w:val="right"/>
              <w:ind w:right="469"/>
              <w:spacing w:after="0"/>
              <w:rPr>
                <w:sz w:val="20"/>
                <w:szCs w:val="20"/>
                <w:color w:val="auto"/>
              </w:rPr>
            </w:pPr>
            <w:r>
              <w:rPr>
                <w:rFonts w:ascii="Arial" w:cs="Arial" w:eastAsia="Arial" w:hAnsi="Arial"/>
                <w:sz w:val="14"/>
                <w:szCs w:val="14"/>
                <w:color w:val="auto"/>
                <w:w w:val="99"/>
              </w:rPr>
              <w:t>- $5</w:t>
            </w:r>
          </w:p>
        </w:tc>
        <w:tc>
          <w:tcPr>
            <w:tcW w:w="280" w:type="dxa"/>
            <w:vAlign w:val="bottom"/>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 $52</w:t>
            </w:r>
          </w:p>
        </w:tc>
      </w:tr>
      <w:tr>
        <w:trPr>
          <w:trHeight w:val="253"/>
        </w:trPr>
        <w:tc>
          <w:tcPr>
            <w:tcW w:w="5300" w:type="dxa"/>
            <w:vAlign w:val="bottom"/>
          </w:tcPr>
          <w:p>
            <w:pPr>
              <w:spacing w:after="0"/>
              <w:rPr>
                <w:sz w:val="22"/>
                <w:szCs w:val="22"/>
                <w:color w:val="auto"/>
              </w:rPr>
            </w:pPr>
          </w:p>
        </w:tc>
        <w:tc>
          <w:tcPr>
            <w:tcW w:w="228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gridSpan w:val="3"/>
          </w:tcPr>
          <w:p>
            <w:pPr>
              <w:spacing w:after="0"/>
              <w:rPr>
                <w:sz w:val="22"/>
                <w:szCs w:val="22"/>
                <w:color w:val="auto"/>
              </w:rPr>
            </w:pPr>
          </w:p>
        </w:tc>
      </w:tr>
      <w:tr>
        <w:trPr>
          <w:trHeight w:val="213"/>
        </w:trPr>
        <w:tc>
          <w:tcPr>
            <w:tcW w:w="53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 xml:space="preserve">Margin from Marketing of Purchased Commodities ($ millions) </w:t>
            </w:r>
            <w:r>
              <w:rPr>
                <w:rFonts w:ascii="Arial" w:cs="Arial" w:eastAsia="Arial" w:hAnsi="Arial"/>
                <w:sz w:val="18"/>
                <w:szCs w:val="18"/>
                <w:color w:val="auto"/>
                <w:vertAlign w:val="superscript"/>
              </w:rPr>
              <w:t>3</w:t>
            </w:r>
          </w:p>
        </w:tc>
        <w:tc>
          <w:tcPr>
            <w:tcW w:w="2280" w:type="dxa"/>
            <w:vAlign w:val="bottom"/>
            <w:gridSpan w:val="2"/>
            <w:shd w:val="clear" w:color="auto" w:fill="DBDBDB"/>
          </w:tcPr>
          <w:p>
            <w:pPr>
              <w:jc w:val="right"/>
              <w:ind w:right="409"/>
              <w:spacing w:after="0"/>
              <w:rPr>
                <w:sz w:val="20"/>
                <w:szCs w:val="20"/>
                <w:color w:val="auto"/>
              </w:rPr>
            </w:pPr>
            <w:r>
              <w:rPr>
                <w:rFonts w:ascii="Arial" w:cs="Arial" w:eastAsia="Arial" w:hAnsi="Arial"/>
                <w:sz w:val="14"/>
                <w:szCs w:val="14"/>
                <w:color w:val="auto"/>
              </w:rPr>
              <w:t>$5 - $15</w:t>
            </w:r>
          </w:p>
        </w:tc>
        <w:tc>
          <w:tcPr>
            <w:tcW w:w="300" w:type="dxa"/>
            <w:vAlign w:val="bottom"/>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shd w:val="clear" w:color="auto" w:fill="DBDBDB"/>
          </w:tcPr>
          <w:p>
            <w:pPr>
              <w:jc w:val="right"/>
              <w:ind w:right="449"/>
              <w:spacing w:after="0"/>
              <w:rPr>
                <w:sz w:val="20"/>
                <w:szCs w:val="20"/>
                <w:color w:val="auto"/>
              </w:rPr>
            </w:pPr>
            <w:r>
              <w:rPr>
                <w:rFonts w:ascii="Arial" w:cs="Arial" w:eastAsia="Arial" w:hAnsi="Arial"/>
                <w:sz w:val="14"/>
                <w:szCs w:val="14"/>
                <w:color w:val="auto"/>
              </w:rPr>
              <w:t>$5 - $15</w:t>
            </w:r>
          </w:p>
        </w:tc>
      </w:tr>
      <w:tr>
        <w:trPr>
          <w:trHeight w:val="247"/>
        </w:trPr>
        <w:tc>
          <w:tcPr>
            <w:tcW w:w="5300" w:type="dxa"/>
            <w:vAlign w:val="bottom"/>
          </w:tcPr>
          <w:p>
            <w:pPr>
              <w:ind w:left="140"/>
              <w:spacing w:after="0"/>
              <w:rPr>
                <w:sz w:val="20"/>
                <w:szCs w:val="20"/>
                <w:color w:val="auto"/>
              </w:rPr>
            </w:pPr>
            <w:r>
              <w:rPr>
                <w:rFonts w:ascii="Arial" w:cs="Arial" w:eastAsia="Arial" w:hAnsi="Arial"/>
                <w:sz w:val="14"/>
                <w:szCs w:val="14"/>
                <w:color w:val="auto"/>
              </w:rPr>
              <w:t>Electricity Margin ($ millions)</w:t>
            </w:r>
            <w:r>
              <w:rPr>
                <w:rFonts w:ascii="Arial" w:cs="Arial" w:eastAsia="Arial" w:hAnsi="Arial"/>
                <w:sz w:val="18"/>
                <w:szCs w:val="18"/>
                <w:color w:val="auto"/>
                <w:vertAlign w:val="superscript"/>
              </w:rPr>
              <w:t>4</w:t>
            </w:r>
          </w:p>
        </w:tc>
        <w:tc>
          <w:tcPr>
            <w:tcW w:w="1500" w:type="dxa"/>
            <w:vAlign w:val="bottom"/>
          </w:tcPr>
          <w:p>
            <w:pPr>
              <w:jc w:val="right"/>
              <w:spacing w:after="0"/>
              <w:rPr>
                <w:sz w:val="20"/>
                <w:szCs w:val="20"/>
                <w:color w:val="auto"/>
              </w:rPr>
            </w:pPr>
            <w:r>
              <w:rPr>
                <w:rFonts w:ascii="Arial" w:cs="Arial" w:eastAsia="Arial" w:hAnsi="Arial"/>
                <w:sz w:val="14"/>
                <w:szCs w:val="14"/>
                <w:color w:val="auto"/>
              </w:rPr>
              <w:t>$34</w:t>
            </w:r>
          </w:p>
        </w:tc>
        <w:tc>
          <w:tcPr>
            <w:tcW w:w="780" w:type="dxa"/>
            <w:vAlign w:val="bottom"/>
          </w:tcPr>
          <w:p>
            <w:pPr>
              <w:ind w:left="20"/>
              <w:spacing w:after="0"/>
              <w:rPr>
                <w:sz w:val="20"/>
                <w:szCs w:val="20"/>
                <w:color w:val="auto"/>
              </w:rPr>
            </w:pPr>
            <w:r>
              <w:rPr>
                <w:rFonts w:ascii="Arial" w:cs="Arial" w:eastAsia="Arial" w:hAnsi="Arial"/>
                <w:sz w:val="14"/>
                <w:szCs w:val="14"/>
                <w:color w:val="auto"/>
              </w:rPr>
              <w:t>- $42</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820" w:type="dxa"/>
            <w:vAlign w:val="bottom"/>
          </w:tcPr>
          <w:p>
            <w:pPr>
              <w:ind w:left="20"/>
              <w:spacing w:after="0"/>
              <w:rPr>
                <w:sz w:val="20"/>
                <w:szCs w:val="20"/>
                <w:color w:val="auto"/>
              </w:rPr>
            </w:pPr>
            <w:r>
              <w:rPr>
                <w:rFonts w:ascii="Arial" w:cs="Arial" w:eastAsia="Arial" w:hAnsi="Arial"/>
                <w:sz w:val="14"/>
                <w:szCs w:val="14"/>
                <w:color w:val="auto"/>
              </w:rPr>
              <w:t>- $42</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w:t>
      </w:r>
    </w:p>
    <w:p>
      <w:pPr>
        <w:spacing w:after="0" w:line="240"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 is committed to returning significant cash to shareholders through dividends and repurchases of its common stock.</w:t>
      </w:r>
    </w:p>
    <w:p>
      <w:pPr>
        <w:spacing w:after="0" w:line="162"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During the first quarter of 2024, CRC repurchased 1.1 million shares for $58 million or an average price of $53.26 per share. Post quarter end and through May 3, 2024, CRC repurchased an additional 0.3 million shares for $15 million or an average price of $54.80. Since the inception of the Share Repurchase Program in May 2021 through May 3, 2024, 16.2 million shares have been repurchased for $675 million at an average price of $41.61 per share. These total repurchases represent 19% of CRC’s shares outstanding at its bankruptcy emergence in October 2020.</w:t>
      </w:r>
    </w:p>
    <w:p>
      <w:pPr>
        <w:spacing w:after="0" w:line="192"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In February 2024, CRC’s Board of Directors approved a $250 million increase of the Share Repurchase Program, bringing the aggregate program to $1.35 billion, and extended the program through December 31, 2025. Adjusting for this increase, CRC has approximately $675 million of capacity remaining under the repurchase program as of May 7, 2024.</w:t>
      </w:r>
    </w:p>
    <w:p>
      <w:pPr>
        <w:spacing w:after="0" w:line="192"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On May 7, 2024, CRC's Board of Directors declared a quarterly cash dividend of $0.31 per share of common stock. The dividend is payable to shareholders of record on May 31, 2024 and will be paid on June 14, 2024. Post closing of the Aera Merger, and subject to Board approval, CRC expects to increase its quarterly dividend.</w:t>
      </w:r>
    </w:p>
    <w:p>
      <w:pPr>
        <w:spacing w:after="0" w:line="181"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From October 2020 through May 7, 2024, CRC has returned $905 million of cash to its stakeholders, including $675 million in share repurchases, $175 million of dividends and $55 million in principal of its Senior Notes repurchases.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40"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In connection with the Merger Agreement, on February 9, 2024, CRC entered into a second amendment to its Revolving Credit Facility to permit CRC to incur debt under a bridge loan facility that may be used in connection with closing the Aera Merger.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113" w:right="339" w:bottom="1440" w:gutter="0" w:footer="0" w:header="0"/>
        </w:sectPr>
      </w:pPr>
    </w:p>
    <w:bookmarkStart w:id="9" w:name="page10"/>
    <w:bookmarkEnd w:id="9"/>
    <w:p>
      <w:pPr>
        <w:jc w:val="both"/>
        <w:ind w:firstLine="320"/>
        <w:spacing w:after="0" w:line="258" w:lineRule="auto"/>
        <w:rPr>
          <w:sz w:val="20"/>
          <w:szCs w:val="20"/>
          <w:color w:val="auto"/>
        </w:rPr>
      </w:pPr>
      <w:r>
        <w:rPr>
          <w:rFonts w:ascii="Arial" w:cs="Arial" w:eastAsia="Arial" w:hAnsi="Arial"/>
          <w:sz w:val="21"/>
          <w:szCs w:val="21"/>
          <w:color w:val="auto"/>
        </w:rPr>
        <w:t>In March 2024, CRC entered into a third amendment to its Revolving Credit Facility. The amendment facilitated certain matters with respect to the Aera Merger, including the postponement of the regular spring borrowing base redetermination until the fall of 2024 and certain other amendments.</w:t>
      </w:r>
    </w:p>
    <w:p>
      <w:pPr>
        <w:spacing w:after="0" w:line="194"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Additionally, CRC obtained commitments from its existing lenders and certain new lenders to amend CRC's Revolving Credit Facility upon closing of the Aera Merger. These commitments include increasing its borrowing base from $1.2 billion to $1.5 billion, increasing the aggregate commitment amount from $630 million to $1.1 billion, and other matters.</w:t>
      </w:r>
    </w:p>
    <w:p>
      <w:pPr>
        <w:spacing w:after="0" w:line="177"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As of March 31, 2024, CRC had liquidity of $880 million, which consisted of $403 million in cash and cash equivalents plus $477 million of available borrowing capacity under its Revolving Credit Facility (which is after $153 million of outstanding letters of credit).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Acquisitions and Divestitures</w:t>
      </w:r>
    </w:p>
    <w:p>
      <w:pPr>
        <w:spacing w:after="0" w:line="240"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In March 2024, CRC sold its 0.9-acre Fort Apache real estate property in Huntington Beach, California for a purchase price of $10 million and recognized a $6 million gain.</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Sustainability</w:t>
      </w:r>
    </w:p>
    <w:p>
      <w:pPr>
        <w:spacing w:after="0" w:line="240" w:lineRule="exact"/>
        <w:rPr>
          <w:sz w:val="20"/>
          <w:szCs w:val="20"/>
          <w:color w:val="auto"/>
        </w:rPr>
      </w:pPr>
    </w:p>
    <w:p>
      <w:pPr>
        <w:jc w:val="both"/>
        <w:ind w:firstLine="320"/>
        <w:spacing w:after="0" w:line="242" w:lineRule="auto"/>
        <w:rPr>
          <w:sz w:val="20"/>
          <w:szCs w:val="20"/>
          <w:color w:val="auto"/>
        </w:rPr>
      </w:pPr>
      <w:r>
        <w:rPr>
          <w:rFonts w:ascii="Arial" w:cs="Arial" w:eastAsia="Arial" w:hAnsi="Arial"/>
          <w:sz w:val="21"/>
          <w:szCs w:val="21"/>
          <w:color w:val="auto"/>
        </w:rPr>
        <w:t>In April, 2024, CRC received a “Grade A” certification through MiQ’s Methane Emissions Performance Standard for CRC's operating assets in Los Angeles and Orange Counties. MiQ is an independent not-for-profit established to facilitate a rapid reduction in methane emissions from the oil and gas sector. This certification is the first “Grade A” independently certified gas (ICG) designation that MiQ has presented to oil and natural gas operating assets in California and the Rocky Mountain region. The achievement further demonstrates CRC’s dedication to its ESG goals and sustainability platform. CRC plans to continue to work with MiQ to expand its ICG certifications to operations in the San Joaquin and Sacramento basins.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Board Changes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21"/>
          <w:szCs w:val="21"/>
          <w:color w:val="auto"/>
        </w:rPr>
        <w:t>On May 3, 2024, CRC's shareholders elected one new Board member, Christian S. Kendall.</w:t>
      </w:r>
    </w:p>
    <w:p>
      <w:pPr>
        <w:spacing w:after="0" w:line="252"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21"/>
          <w:szCs w:val="21"/>
          <w:color w:val="auto"/>
        </w:rPr>
        <w:t>Mr. Kendall is the former President and Chief Executive Officer of Denbury. Prior to joining Denbury in 2015, Mr. Kendall worked at Noble Energy, Inc., where he served as a member of Noble’s executive management and operations leadership team as Senior Vice President, Global Operations Services. Prior to that, Mr. Kendall served in several other executive and management roles of increasing responsibility with Noble beginning in 2001. Mr. Kendall’s career in the oil and natural gas industry began in 1989 at Mobil Oil Corporation. Mr. Kendall has served as the Chairman of the Board of the Dallas Division of the American Heart Association and is a member of National Petroleum Council. Mr. Kendall holds a Bachelor of Science degree in Engineering with a Civil Specialty from the Colorado School of Mines and has also completed the Advanced Management Program at the Harvard Business School. Please see www.crc.com for more details.</w:t>
      </w:r>
    </w:p>
    <w:p>
      <w:pPr>
        <w:spacing w:after="0" w:line="200" w:lineRule="exact"/>
        <w:rPr>
          <w:sz w:val="20"/>
          <w:szCs w:val="20"/>
          <w:color w:val="auto"/>
        </w:rPr>
      </w:pPr>
    </w:p>
    <w:p>
      <w:pPr>
        <w:jc w:val="both"/>
        <w:ind w:firstLine="320"/>
        <w:spacing w:after="0" w:line="269" w:lineRule="auto"/>
        <w:rPr>
          <w:sz w:val="20"/>
          <w:szCs w:val="20"/>
          <w:color w:val="auto"/>
        </w:rPr>
      </w:pPr>
      <w:r>
        <w:rPr>
          <w:rFonts w:ascii="Arial" w:cs="Arial" w:eastAsia="Arial" w:hAnsi="Arial"/>
          <w:sz w:val="21"/>
          <w:szCs w:val="21"/>
          <w:color w:val="auto"/>
        </w:rPr>
        <w:t>As previously disclosed, Julio M. Quintana, who has served as a member of CRC’s Board of Directors since October 2020, did not seek reelection as a Director at the 2024 Annual Meeting. CRC thanks Mr. Quintana for his outstanding leadership, knowledge, and contributions to the Company throughout his tenure on the Board of Directors and wish him all the best.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CRC's executives will be participating in the following events in May through July 2024:</w:t>
      </w:r>
    </w:p>
    <w:p>
      <w:pPr>
        <w:spacing w:after="0" w:line="252" w:lineRule="exact"/>
        <w:rPr>
          <w:sz w:val="20"/>
          <w:szCs w:val="20"/>
          <w:color w:val="auto"/>
        </w:rPr>
      </w:pPr>
    </w:p>
    <w:p>
      <w:pPr>
        <w:ind w:left="640" w:hanging="314"/>
        <w:spacing w:after="0" w:line="26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Goldman Sachs Ninth Annual Leveraged Finance and Credit Conference on May 13 and 14 in Rancho Palos Verdes, CA</w:t>
      </w:r>
    </w:p>
    <w:p>
      <w:pPr>
        <w:spacing w:after="0" w:line="1" w:lineRule="exact"/>
        <w:rPr>
          <w:rFonts w:ascii="Arial" w:cs="Arial" w:eastAsia="Arial" w:hAnsi="Arial"/>
          <w:sz w:val="21"/>
          <w:szCs w:val="21"/>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2024 Citi Energy &amp; Climate Technology Conference on May 14 to 15 in Boston, MA</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TD Cowen's 2nd Annual Sustainability Week on May 21 held virtually</w:t>
      </w:r>
    </w:p>
    <w:p>
      <w:pPr>
        <w:spacing w:after="0" w:line="19" w:lineRule="exact"/>
        <w:rPr>
          <w:rFonts w:ascii="Arial" w:cs="Arial" w:eastAsia="Arial" w:hAnsi="Arial"/>
          <w:sz w:val="21"/>
          <w:szCs w:val="21"/>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Stifel 2024 Cross Sector Insights Conference on June 3 in Boston, MA</w:t>
      </w:r>
    </w:p>
    <w:p>
      <w:pPr>
        <w:spacing w:after="0" w:line="17"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RBC Capital Markets Global Energy, Power &amp; Infrastructure Conference on June 5 in New York, NY</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BofA Securities Energy Credit Conference on June 6 in New York, NY</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2024 JP Morgan Energy, Power &amp; Renewables Conference on June 17 to 18 in New York, NY</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7"/>
        </w:numPr>
        <w:rPr>
          <w:rFonts w:ascii="Arial" w:cs="Arial" w:eastAsia="Arial" w:hAnsi="Arial"/>
          <w:sz w:val="21"/>
          <w:szCs w:val="21"/>
          <w:color w:val="auto"/>
        </w:rPr>
      </w:pPr>
      <w:r>
        <w:rPr>
          <w:rFonts w:ascii="Arial" w:cs="Arial" w:eastAsia="Arial" w:hAnsi="Arial"/>
          <w:sz w:val="21"/>
          <w:szCs w:val="21"/>
          <w:color w:val="auto"/>
        </w:rPr>
        <w:t>2024 TD Calgary Energy Conference on July 9 to 10 in Calgary, AB, Canada</w:t>
      </w:r>
    </w:p>
    <w:p>
      <w:pPr>
        <w:spacing w:after="0" w:line="232"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40" w:lineRule="exact"/>
        <w:rPr>
          <w:sz w:val="20"/>
          <w:szCs w:val="20"/>
          <w:color w:val="auto"/>
        </w:rPr>
      </w:pPr>
    </w:p>
    <w:p>
      <w:pPr>
        <w:jc w:val="both"/>
        <w:ind w:firstLine="320"/>
        <w:spacing w:after="0" w:line="246" w:lineRule="auto"/>
        <w:rPr>
          <w:sz w:val="20"/>
          <w:szCs w:val="20"/>
          <w:color w:val="auto"/>
        </w:rPr>
      </w:pPr>
      <w:r>
        <w:rPr>
          <w:rFonts w:ascii="Arial" w:cs="Arial" w:eastAsia="Arial" w:hAnsi="Arial"/>
          <w:sz w:val="21"/>
          <w:szCs w:val="21"/>
          <w:color w:val="auto"/>
        </w:rPr>
        <w:t>A conference call is scheduled for Wednesday, May 8, 2024 at 1:00 p.m. Eastern Time (10:00 a.m. Pacific Time). To participate in the call, please dial (877) 328-5505 (International calls please dial +1 (412) 317-5421) or access via webcast at www.crc.com 15 minutes prior to the scheduled start time to register. Participants may also pre-register for the conference call at https://dpregister.com/sreg/10187009/fbc013eb9d. A digital replay of the conference call will be archived for approximately 90 days and supplemental slides for the conference call will be available online in the Investor Relations section of www.crc.com.</w:t>
      </w:r>
    </w:p>
    <w:p>
      <w:pPr>
        <w:spacing w:after="0" w:line="199" w:lineRule="exact"/>
        <w:rPr>
          <w:sz w:val="20"/>
          <w:szCs w:val="20"/>
          <w:color w:val="auto"/>
        </w:rPr>
      </w:pPr>
    </w:p>
    <w:p>
      <w:pPr>
        <w:jc w:val="both"/>
        <w:ind w:firstLine="7"/>
        <w:spacing w:after="0" w:line="229" w:lineRule="auto"/>
        <w:tabs>
          <w:tab w:leader="none" w:pos="62"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operating costs per BOE (excluding effects of PSCs), adjusted net income (loss), adjusted net income (loss) per share - basic and diluted, net cash provided by operating activities before changes in operating assets and liabilities, net, adjusted EBITDAX, free cash flow and adjusted G&amp;A, including reconciliations to their most directly comparable GAAP measure, where applicable. For the 2Q24 estimates of the non-GAAP measure of adjusted general and administrative expenses, including reconciliations to its most directly comparable GAAP measure, see Attachment 2.</w:t>
      </w:r>
    </w:p>
    <w:p>
      <w:pPr>
        <w:spacing w:after="0" w:line="1" w:lineRule="exact"/>
        <w:rPr>
          <w:rFonts w:ascii="Arial" w:cs="Arial" w:eastAsia="Arial" w:hAnsi="Arial"/>
          <w:sz w:val="14"/>
          <w:szCs w:val="14"/>
          <w:color w:val="auto"/>
          <w:vertAlign w:val="superscript"/>
        </w:rPr>
      </w:pPr>
    </w:p>
    <w:p>
      <w:pPr>
        <w:spacing w:after="0" w:line="203"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2"/>
          <w:szCs w:val="12"/>
          <w:color w:val="auto"/>
        </w:rPr>
        <w:t xml:space="preserve"> 2Q24 guidance assumes Brent price of $86.17 per barrel of oil, NGL realizations as a percentage of Brent consistent with prior years and a NYMEX gas price of $1.78 per mcf. CRC's share of production under PSC contracts decreases when commodity prices rise and increases when prices fall.</w:t>
      </w:r>
    </w:p>
    <w:p>
      <w:pPr>
        <w:ind w:right="800"/>
        <w:spacing w:after="0" w:line="24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2"/>
          <w:szCs w:val="12"/>
          <w:color w:val="auto"/>
        </w:rPr>
        <w:t xml:space="preserve"> Margin from Marketing of Purchased Commodities is calculated as the difference between Revenue from Marketing of Purchased Commodities and Costs Related to Marketing of Purchased Commodities </w:t>
      </w:r>
      <w:r>
        <w:rPr>
          <w:rFonts w:ascii="Arial" w:cs="Arial" w:eastAsia="Arial" w:hAnsi="Arial"/>
          <w:sz w:val="14"/>
          <w:szCs w:val="14"/>
          <w:color w:val="auto"/>
          <w:vertAlign w:val="superscript"/>
        </w:rPr>
        <w:t>4</w:t>
      </w:r>
      <w:r>
        <w:rPr>
          <w:rFonts w:ascii="Arial" w:cs="Arial" w:eastAsia="Arial" w:hAnsi="Arial"/>
          <w:sz w:val="12"/>
          <w:szCs w:val="12"/>
          <w:color w:val="auto"/>
        </w:rPr>
        <w:t xml:space="preserve"> Electricity Margin is calculated as the difference between Electricity Sales and Electricity Generation Expenses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ind w:firstLine="320"/>
        <w:spacing w:after="0" w:line="238"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produces some of the lowest carbon intensity production in the US and is focused on maximizing the value of its land, mineral and technical resources for decarbonization by developing CCS and other emissions reducing projects. For more information about CRC, please visit www.crc.com.</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54"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21"/>
          <w:szCs w:val="21"/>
          <w:color w:val="auto"/>
        </w:rPr>
        <w:t>Carbon TerraVault Holdings, LLC (CTV), a subsidiary of CRC, provides services that include the capture, transport and storage of carbon dioxide for its customers. CTV is engaged in a series of carbon capture and storage (CCS) projects that inject CO</w:t>
      </w:r>
      <w:r>
        <w:rPr>
          <w:rFonts w:ascii="Arial" w:cs="Arial" w:eastAsia="Arial" w:hAnsi="Arial"/>
          <w:sz w:val="11"/>
          <w:szCs w:val="11"/>
          <w:color w:val="auto"/>
        </w:rPr>
        <w:t>2</w:t>
      </w:r>
      <w:r>
        <w:rPr>
          <w:rFonts w:ascii="Arial" w:cs="Arial" w:eastAsia="Arial" w:hAnsi="Arial"/>
          <w:sz w:val="21"/>
          <w:szCs w:val="21"/>
          <w:color w:val="auto"/>
        </w:rPr>
        <w:t xml:space="preserve"> captured from industrial sources into depleted underground reservoirs and permanently store CO</w:t>
      </w:r>
      <w:r>
        <w:rPr>
          <w:rFonts w:ascii="Arial" w:cs="Arial" w:eastAsia="Arial" w:hAnsi="Arial"/>
          <w:sz w:val="11"/>
          <w:szCs w:val="11"/>
          <w:color w:val="auto"/>
        </w:rPr>
        <w:t>2</w:t>
      </w:r>
      <w:r>
        <w:rPr>
          <w:rFonts w:ascii="Arial" w:cs="Arial" w:eastAsia="Arial" w:hAnsi="Arial"/>
          <w:sz w:val="21"/>
          <w:szCs w:val="21"/>
          <w:color w:val="auto"/>
        </w:rPr>
        <w:t xml:space="preserve"> deep underground. For more information about CTV, please visit www.carbonterravault.com.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71" w:right="339" w:bottom="144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u w:val="single" w:color="auto"/>
          <w:color w:val="auto"/>
        </w:rPr>
        <w:t>Additional Information and Where to Find It</w:t>
      </w:r>
    </w:p>
    <w:p>
      <w:pPr>
        <w:spacing w:after="0" w:line="280" w:lineRule="exact"/>
        <w:rPr>
          <w:sz w:val="20"/>
          <w:szCs w:val="20"/>
          <w:color w:val="auto"/>
        </w:rPr>
      </w:pPr>
    </w:p>
    <w:p>
      <w:pPr>
        <w:jc w:val="both"/>
        <w:ind w:firstLine="320"/>
        <w:spacing w:after="0" w:line="278" w:lineRule="auto"/>
        <w:rPr>
          <w:sz w:val="20"/>
          <w:szCs w:val="20"/>
          <w:color w:val="auto"/>
        </w:rPr>
      </w:pPr>
      <w:r>
        <w:rPr>
          <w:rFonts w:ascii="Arial" w:cs="Arial" w:eastAsia="Arial" w:hAnsi="Arial"/>
          <w:sz w:val="21"/>
          <w:szCs w:val="21"/>
          <w:color w:val="auto"/>
        </w:rPr>
        <w:t>This communication may be deemed to be solicitation material in respect of the transactions contemplated by the merger agreement pursuant to which California Resources Corporation (“CRC”) has agreed to combine with Aera Energy, LLC (“Aera”) (the “Merger Agreement”), including the proposed issuance of CRC’S common stock pursuant to the Merger Agreement. In connection with the transaction, CRC filed a proxy statement on Schedule 14A with the U.S. Securities and Exchange Commission (“SEC”), as well as other relevant materials. Following the filing of the definitive proxy statement, CRC mailed the definitive proxy statement and a proxy card to its stockholders. INVESTORS AND SECURITY HOLDERS OF CRC ARE URGED TO READ THE PROXY STATEMENT AND OTHER RELEVANT DOCUMENTS FILED OR TO BE FILED WITH THE SEC CAREFULLY WHEN THEY BECOME AVAILABLE BECAUSE THEY WILL CONTAIN IMPORTANT INFORMATION ABOUT CRC, AERA, THE TRANSACTION AND RELATED MATTERS. Investors and security holders will be able to obtain copies of the proxy statement (when available) as well as other filings containing information about CRC, Aera and the transaction, without charge, at the SEC’s website, www.sec.gov. Copies of documents filed with the SEC by CRC will be available, without charge, at CRC’s website, www.crc.com.</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Participants in Solicitation</w:t>
      </w:r>
    </w:p>
    <w:p>
      <w:pPr>
        <w:spacing w:after="0" w:line="280"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21"/>
          <w:szCs w:val="21"/>
          <w:color w:val="auto"/>
        </w:rPr>
        <w:t>CRC and its directors and executive officers may be deemed to be participants in the solicitation of proxies in connection with the transaction. Information about the directors and executive officers of CRC is set forth in the proxy statement for CRC’s 2024 Annual Meeting of Stockholders, which was filed with the SEC on March 21, 2024. Investors may obtain additional information regarding the interest of such participants by reading the proxy statement regarding the transaction when it becomes available.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40"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its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884" w:right="339" w:bottom="1440" w:gutter="0" w:footer="0" w:header="0"/>
        </w:sectPr>
      </w:pPr>
    </w:p>
    <w:bookmarkStart w:id="12" w:name="page13"/>
    <w:bookmarkEnd w:id="12"/>
    <w:p>
      <w:pPr>
        <w:jc w:val="both"/>
        <w:ind w:firstLine="320"/>
        <w:spacing w:after="0" w:line="264"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the company's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191" w:lineRule="exact"/>
        <w:rPr>
          <w:sz w:val="20"/>
          <w:szCs w:val="20"/>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fluctuations in commodity prices, including supply and demand considerations for CRC's products and services;</w:t>
      </w:r>
    </w:p>
    <w:p>
      <w:pPr>
        <w:spacing w:after="0" w:line="3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decisions as to production levels and/or pricing by OPEC or U.S. producers in future periods;</w:t>
      </w:r>
    </w:p>
    <w:p>
      <w:pPr>
        <w:spacing w:after="0" w:line="11" w:lineRule="exact"/>
        <w:rPr>
          <w:rFonts w:ascii="Arial" w:cs="Arial" w:eastAsia="Arial" w:hAnsi="Arial"/>
          <w:sz w:val="21"/>
          <w:szCs w:val="21"/>
          <w:color w:val="auto"/>
        </w:rPr>
      </w:pPr>
    </w:p>
    <w:p>
      <w:pPr>
        <w:ind w:left="640" w:right="220" w:hanging="314"/>
        <w:spacing w:after="0" w:line="258"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government policy, war and political conditions and events, including the military conflicts in Israel, Ukraine and Yemen and the Red Sea;</w:t>
      </w: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ability to successfully integrate the business of Aera once the Aera Merger is completed;</w:t>
      </w:r>
    </w:p>
    <w:p>
      <w:pPr>
        <w:spacing w:after="0" w:line="11" w:lineRule="exact"/>
        <w:rPr>
          <w:rFonts w:ascii="Arial" w:cs="Arial" w:eastAsia="Arial" w:hAnsi="Arial"/>
          <w:sz w:val="21"/>
          <w:szCs w:val="21"/>
          <w:color w:val="auto"/>
        </w:rPr>
      </w:pPr>
    </w:p>
    <w:p>
      <w:pPr>
        <w:ind w:left="640" w:right="180" w:hanging="314"/>
        <w:spacing w:after="0" w:line="251"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timing, receipt and terms and conditions of any required governmental and regulatory approvals of the Aera Merger that could reduce anticipated benefits or cause the parties to abandon the Aera Merger;</w:t>
      </w:r>
    </w:p>
    <w:p>
      <w:pPr>
        <w:spacing w:after="0" w:line="1" w:lineRule="exact"/>
        <w:rPr>
          <w:rFonts w:ascii="Arial" w:cs="Arial" w:eastAsia="Arial" w:hAnsi="Arial"/>
          <w:sz w:val="21"/>
          <w:szCs w:val="21"/>
          <w:color w:val="auto"/>
        </w:rPr>
      </w:pPr>
    </w:p>
    <w:p>
      <w:pPr>
        <w:ind w:left="640" w:right="120" w:hanging="314"/>
        <w:spacing w:after="0" w:line="255"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occurrence of any event, change or other circumstances that could give rise to the termination of the Merger Agreement;</w:t>
      </w:r>
    </w:p>
    <w:p>
      <w:pPr>
        <w:spacing w:after="0" w:line="1" w:lineRule="exact"/>
        <w:rPr>
          <w:rFonts w:ascii="Arial" w:cs="Arial" w:eastAsia="Arial" w:hAnsi="Arial"/>
          <w:sz w:val="21"/>
          <w:szCs w:val="21"/>
          <w:color w:val="auto"/>
        </w:rPr>
      </w:pPr>
    </w:p>
    <w:p>
      <w:pPr>
        <w:ind w:left="640" w:right="40" w:hanging="314"/>
        <w:spacing w:after="0" w:line="254"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possibility that the stockholders of CRC may not approve the issuance of new shares of common stock in the Aera Merger;</w:t>
      </w:r>
    </w:p>
    <w:p>
      <w:pPr>
        <w:ind w:left="640" w:right="60" w:hanging="314"/>
        <w:spacing w:after="0" w:line="254"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ability to obtain the required debt financing pursuant to CRC's commitment letters and, if obtained, the potential impact of additional debt on its business and the financial impacts and restrictions due to the additional debt;</w:t>
      </w:r>
    </w:p>
    <w:p>
      <w:pPr>
        <w:ind w:left="640" w:right="160" w:hanging="314"/>
        <w:spacing w:after="0" w:line="254"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regulatory actions and changes that affect the oil and gas industry generally and CRC in particular, including (1) the availability or timing of, or conditions imposed on, permits and approvals necessary for drilling or development activities or its carbon management business; (2) the management of energy, water, land, greenhouse gases (GHGs) or other emissions, (3) the protection of health, safety and the environment, or (4) the transportation, marketing and sale of the company's products;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impact of inflation on future expenses and changes generally in the prices of goods and services;</w:t>
      </w:r>
    </w:p>
    <w:p>
      <w:pPr>
        <w:spacing w:after="0" w:line="17"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lower-than-expected production or higher-than-expected production decline rates;</w:t>
      </w:r>
    </w:p>
    <w:p>
      <w:pPr>
        <w:spacing w:after="0" w:line="11" w:lineRule="exact"/>
        <w:rPr>
          <w:rFonts w:ascii="Arial" w:cs="Arial" w:eastAsia="Arial" w:hAnsi="Arial"/>
          <w:sz w:val="21"/>
          <w:szCs w:val="21"/>
          <w:color w:val="auto"/>
        </w:rPr>
      </w:pPr>
    </w:p>
    <w:p>
      <w:pPr>
        <w:ind w:left="640" w:right="720" w:hanging="314"/>
        <w:spacing w:after="0" w:line="251"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to CRC's estimates of reserves and related future cash flows, including changes arising from the inability to develop such reserves in a timely manner, and any inability to replace such reserves;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19" w:lineRule="exact"/>
        <w:rPr>
          <w:rFonts w:ascii="Arial" w:cs="Arial" w:eastAsia="Arial" w:hAnsi="Arial"/>
          <w:sz w:val="21"/>
          <w:szCs w:val="21"/>
          <w:color w:val="auto"/>
        </w:rPr>
      </w:pPr>
    </w:p>
    <w:p>
      <w:pPr>
        <w:ind w:left="640" w:right="880" w:hanging="314"/>
        <w:spacing w:after="0" w:line="254" w:lineRule="auto"/>
        <w:tabs>
          <w:tab w:leader="none" w:pos="581" w:val="left"/>
        </w:tabs>
        <w:numPr>
          <w:ilvl w:val="0"/>
          <w:numId w:val="9"/>
        </w:numPr>
        <w:rPr>
          <w:rFonts w:ascii="Arial" w:cs="Arial" w:eastAsia="Arial" w:hAnsi="Arial"/>
          <w:sz w:val="21"/>
          <w:szCs w:val="21"/>
          <w:color w:val="auto"/>
        </w:rPr>
      </w:pPr>
      <w:r>
        <w:rPr>
          <w:rFonts w:ascii="Arial" w:cs="Arial" w:eastAsia="Arial" w:hAnsi="Arial"/>
          <w:sz w:val="21"/>
          <w:szCs w:val="21"/>
          <w:color w:val="auto"/>
        </w:rPr>
        <w:t>general economic conditions and trends, including conditions in the worldwide financial, trade and credit markets;</w:t>
      </w: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lack of available equipment, service or labor price inflation;</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11" w:lineRule="exact"/>
        <w:rPr>
          <w:rFonts w:ascii="Arial" w:cs="Arial" w:eastAsia="Arial" w:hAnsi="Arial"/>
          <w:sz w:val="21"/>
          <w:szCs w:val="21"/>
          <w:color w:val="auto"/>
        </w:rPr>
      </w:pPr>
    </w:p>
    <w:p>
      <w:pPr>
        <w:ind w:left="580" w:hanging="254"/>
        <w:spacing w:after="0" w:line="225" w:lineRule="auto"/>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failure of risk management;</w:t>
      </w:r>
    </w:p>
    <w:p>
      <w:pPr>
        <w:ind w:left="580" w:hanging="254"/>
        <w:spacing w:after="0" w:line="238" w:lineRule="auto"/>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results from operations and competition in the industries in which CRC operates;</w:t>
      </w:r>
    </w:p>
    <w:p>
      <w:pPr>
        <w:ind w:left="580" w:hanging="254"/>
        <w:spacing w:after="0"/>
        <w:tabs>
          <w:tab w:leader="none" w:pos="58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ability to realize the anticipated benefits from prior or future efforts to reduce costs;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886" w:right="339" w:bottom="1440" w:gutter="0" w:footer="0" w:header="0"/>
        </w:sectPr>
      </w:pPr>
    </w:p>
    <w:bookmarkStart w:id="13" w:name="page14"/>
    <w:bookmarkEnd w:id="13"/>
    <w:p>
      <w:pPr>
        <w:ind w:left="640" w:right="1140" w:hanging="314"/>
        <w:spacing w:after="0" w:line="24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environmental risks and liability under federal, regional, state, provincial, tribal, local and international environmental laws and regulations (including remedial actions);</w:t>
      </w:r>
    </w:p>
    <w:p>
      <w:pPr>
        <w:ind w:left="640" w:right="900" w:hanging="314"/>
        <w:spacing w:after="0" w:line="23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creditworthiness and performance of CRC's counterparties, including financial institutions, operating partners, CCS project participants and other parties;</w:t>
      </w:r>
    </w:p>
    <w:p>
      <w:pPr>
        <w:ind w:left="580" w:hanging="254"/>
        <w:spacing w:after="0" w:line="238"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reorganization or restructuring of CRC's operations;</w:t>
      </w:r>
    </w:p>
    <w:p>
      <w:pPr>
        <w:ind w:left="580" w:hanging="254"/>
        <w:spacing w:after="0" w:line="238" w:lineRule="auto"/>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ability to claim and utilize tax credits or other incentives in connection with CRC's CCS projects;</w:t>
      </w:r>
    </w:p>
    <w:p>
      <w:pPr>
        <w:ind w:left="640" w:right="440" w:hanging="314"/>
        <w:spacing w:after="0" w:line="25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ability to realize the benefits contemplated by CRC's energy transition strategies and initiatives, including CCS projects and other renewable energy efforts;</w:t>
      </w:r>
    </w:p>
    <w:p>
      <w:pPr>
        <w:ind w:left="640" w:right="80" w:hanging="314"/>
        <w:spacing w:after="0" w:line="251"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ability to successfully identify, develop and finance carbon capture and storage projects and other renewable energy efforts, including those in connection with the Carbon TerraVault JV, and the ability to convert CRC's CDMAs to definitive agreements and enter into other offtake agreements;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ability to maximize the value of CRC's carbon management business and operate it on a stand alone basis;</w:t>
      </w:r>
    </w:p>
    <w:p>
      <w:pPr>
        <w:spacing w:after="0" w:line="19" w:lineRule="exact"/>
        <w:rPr>
          <w:rFonts w:ascii="Arial" w:cs="Arial" w:eastAsia="Arial" w:hAnsi="Arial"/>
          <w:sz w:val="21"/>
          <w:szCs w:val="21"/>
          <w:color w:val="auto"/>
        </w:rPr>
      </w:pPr>
    </w:p>
    <w:p>
      <w:pPr>
        <w:ind w:left="640" w:right="460" w:hanging="314"/>
        <w:spacing w:after="0" w:line="254"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ability to successfully develop infrastructure projects and enter into third party contracts on contemplated terms;</w:t>
      </w:r>
    </w:p>
    <w:p>
      <w:pPr>
        <w:ind w:left="640" w:right="240" w:hanging="314"/>
        <w:spacing w:after="0" w:line="251"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uncertainty around the accounting of emissions and the ability to successfully gather and verify emissions data and other environmental impacts;</w:t>
      </w:r>
    </w:p>
    <w:p>
      <w:pPr>
        <w:spacing w:after="0" w:line="1" w:lineRule="exact"/>
        <w:rPr>
          <w:rFonts w:ascii="Arial" w:cs="Arial" w:eastAsia="Arial" w:hAnsi="Arial"/>
          <w:sz w:val="21"/>
          <w:szCs w:val="21"/>
          <w:color w:val="auto"/>
        </w:rPr>
      </w:pPr>
    </w:p>
    <w:p>
      <w:pPr>
        <w:ind w:left="640" w:right="260" w:hanging="314"/>
        <w:spacing w:after="0" w:line="25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to CRC's dividend policy and share repurchase program, and the ability to declare future dividends or repurchase shares under its debt agreements;</w:t>
      </w: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spacing w:after="0" w:line="11" w:lineRule="exact"/>
        <w:rPr>
          <w:rFonts w:ascii="Arial" w:cs="Arial" w:eastAsia="Arial" w:hAnsi="Arial"/>
          <w:sz w:val="21"/>
          <w:szCs w:val="21"/>
          <w:color w:val="auto"/>
        </w:rPr>
      </w:pPr>
    </w:p>
    <w:p>
      <w:pPr>
        <w:ind w:left="640" w:right="1260" w:hanging="314"/>
        <w:spacing w:after="0" w:line="251"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cash flow to fund CRC's capital plan and other planned investments and return capital to shareholders;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interest rates;</w:t>
      </w:r>
    </w:p>
    <w:p>
      <w:pPr>
        <w:spacing w:after="0" w:line="11" w:lineRule="exact"/>
        <w:rPr>
          <w:rFonts w:ascii="Arial" w:cs="Arial" w:eastAsia="Arial" w:hAnsi="Arial"/>
          <w:sz w:val="21"/>
          <w:szCs w:val="21"/>
          <w:color w:val="auto"/>
        </w:rPr>
      </w:pPr>
    </w:p>
    <w:p>
      <w:pPr>
        <w:ind w:left="640" w:right="660" w:hanging="314"/>
        <w:spacing w:after="0" w:line="258"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CRC's access to and the terms of credit in commercial banking and capital markets, including the ability to refinance its debt or obtain separate financing for its carbon management business;</w:t>
      </w:r>
    </w:p>
    <w:p>
      <w:pPr>
        <w:ind w:left="640" w:right="120" w:hanging="314"/>
        <w:spacing w:after="0" w:line="251"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state, federal or international tax rates, including the ability to utilize net operating loss carryforwards to reduce CRC's income tax obligations;</w:t>
      </w:r>
    </w:p>
    <w:p>
      <w:pPr>
        <w:spacing w:after="0" w:line="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1"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9" w:lineRule="exact"/>
        <w:rPr>
          <w:rFonts w:ascii="Arial" w:cs="Arial" w:eastAsia="Arial" w:hAnsi="Arial"/>
          <w:sz w:val="21"/>
          <w:szCs w:val="21"/>
          <w:color w:val="auto"/>
        </w:rPr>
      </w:pPr>
    </w:p>
    <w:p>
      <w:pPr>
        <w:ind w:left="640" w:right="100" w:hanging="314"/>
        <w:spacing w:after="0" w:line="254"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joint ventures, divestitures of oil and natural gas properties and real estate, and acquisitions, and the ability to achieve any expected synergies;</w:t>
      </w:r>
    </w:p>
    <w:p>
      <w:pPr>
        <w:ind w:left="640" w:right="760" w:hanging="314"/>
        <w:spacing w:after="0" w:line="254" w:lineRule="auto"/>
        <w:tabs>
          <w:tab w:leader="none" w:pos="581"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pandemic; and</w:t>
      </w:r>
    </w:p>
    <w:p>
      <w:pPr>
        <w:spacing w:after="0" w:line="17" w:lineRule="exact"/>
        <w:rPr>
          <w:rFonts w:ascii="Arial" w:cs="Arial" w:eastAsia="Arial" w:hAnsi="Arial"/>
          <w:sz w:val="21"/>
          <w:szCs w:val="21"/>
          <w:color w:val="auto"/>
        </w:rPr>
      </w:pPr>
    </w:p>
    <w:p>
      <w:pPr>
        <w:ind w:left="580" w:hanging="254"/>
        <w:spacing w:after="0"/>
        <w:tabs>
          <w:tab w:leader="none" w:pos="5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 xml:space="preserve">other factors discussed in </w:t>
      </w:r>
      <w:r>
        <w:rPr>
          <w:rFonts w:ascii="Arial" w:cs="Arial" w:eastAsia="Arial" w:hAnsi="Arial"/>
          <w:sz w:val="21"/>
          <w:szCs w:val="21"/>
          <w:i w:val="1"/>
          <w:iCs w:val="1"/>
          <w:color w:val="auto"/>
        </w:rPr>
        <w:t>Part I, Item 1A – Risk Factors</w:t>
      </w:r>
      <w:r>
        <w:rPr>
          <w:rFonts w:ascii="Arial" w:cs="Arial" w:eastAsia="Arial" w:hAnsi="Arial"/>
          <w:sz w:val="21"/>
          <w:szCs w:val="21"/>
          <w:color w:val="auto"/>
        </w:rPr>
        <w:t xml:space="preserve"> in CRC's 2023 Annual Report</w:t>
      </w:r>
      <w:r>
        <w:rPr>
          <w:rFonts w:ascii="Arial" w:cs="Arial" w:eastAsia="Arial" w:hAnsi="Arial"/>
          <w:sz w:val="21"/>
          <w:szCs w:val="21"/>
          <w:i w:val="1"/>
          <w:iCs w:val="1"/>
          <w:color w:val="auto"/>
        </w:rPr>
        <w:t>.</w:t>
      </w:r>
    </w:p>
    <w:p>
      <w:pPr>
        <w:spacing w:after="0" w:line="23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it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7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1"/>
        </w:trPr>
        <w:tc>
          <w:tcPr>
            <w:tcW w:w="556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6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6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40"/>
        </w:trPr>
        <w:tc>
          <w:tcPr>
            <w:tcW w:w="21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818-661-3731</w:t>
            </w:r>
          </w:p>
        </w:tc>
        <w:tc>
          <w:tcPr>
            <w:tcW w:w="3380" w:type="dxa"/>
            <w:vAlign w:val="bottom"/>
          </w:tcPr>
          <w:p>
            <w:pPr>
              <w:spacing w:after="0"/>
              <w:rPr>
                <w:sz w:val="20"/>
                <w:szCs w:val="20"/>
                <w:color w:val="auto"/>
              </w:rPr>
            </w:pPr>
          </w:p>
        </w:tc>
        <w:tc>
          <w:tcPr>
            <w:tcW w:w="2260" w:type="dxa"/>
            <w:vAlign w:val="bottom"/>
          </w:tcPr>
          <w:p>
            <w:pPr>
              <w:spacing w:after="0" w:line="240" w:lineRule="exact"/>
              <w:rPr>
                <w:sz w:val="20"/>
                <w:szCs w:val="20"/>
                <w:color w:val="auto"/>
              </w:rPr>
            </w:pPr>
            <w:r>
              <w:rPr>
                <w:rFonts w:ascii="Arial" w:cs="Arial" w:eastAsia="Arial" w:hAnsi="Arial"/>
                <w:sz w:val="21"/>
                <w:szCs w:val="21"/>
                <w:color w:val="auto"/>
              </w:rPr>
              <w:t>818-661-6014</w:t>
            </w:r>
          </w:p>
        </w:tc>
      </w:tr>
      <w:tr>
        <w:trPr>
          <w:trHeight w:val="226"/>
        </w:trPr>
        <w:tc>
          <w:tcPr>
            <w:tcW w:w="20" w:type="dxa"/>
            <w:vAlign w:val="bottom"/>
          </w:tcPr>
          <w:p>
            <w:pPr>
              <w:spacing w:after="0"/>
              <w:rPr>
                <w:sz w:val="19"/>
                <w:szCs w:val="19"/>
                <w:color w:val="auto"/>
              </w:rPr>
            </w:pPr>
          </w:p>
        </w:tc>
        <w:tc>
          <w:tcPr>
            <w:tcW w:w="5540" w:type="dxa"/>
            <w:vAlign w:val="bottom"/>
            <w:gridSpan w:val="3"/>
          </w:tcPr>
          <w:p>
            <w:pPr>
              <w:spacing w:after="0" w:line="226" w:lineRule="exact"/>
              <w:rPr>
                <w:sz w:val="20"/>
                <w:szCs w:val="20"/>
                <w:color w:val="auto"/>
              </w:rPr>
            </w:pPr>
            <w:r>
              <w:rPr>
                <w:rFonts w:ascii="Arial" w:cs="Arial" w:eastAsia="Arial" w:hAnsi="Arial"/>
                <w:sz w:val="21"/>
                <w:szCs w:val="21"/>
                <w:color w:val="421BFF"/>
              </w:rPr>
              <w:t>Joanna.Park@crc.com</w:t>
            </w:r>
          </w:p>
        </w:tc>
        <w:tc>
          <w:tcPr>
            <w:tcW w:w="2260" w:type="dxa"/>
            <w:vAlign w:val="bottom"/>
          </w:tcPr>
          <w:p>
            <w:pPr>
              <w:spacing w:after="0" w:line="226" w:lineRule="exact"/>
              <w:rPr>
                <w:sz w:val="20"/>
                <w:szCs w:val="20"/>
                <w:color w:val="auto"/>
              </w:rPr>
            </w:pPr>
            <w:r>
              <w:rPr>
                <w:rFonts w:ascii="Arial" w:cs="Arial" w:eastAsia="Arial" w:hAnsi="Arial"/>
                <w:sz w:val="21"/>
                <w:szCs w:val="21"/>
                <w:color w:val="421BFF"/>
              </w:rPr>
              <w:t>Richard.Venn@crc.com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200" w:type="dxa"/>
            <w:vAlign w:val="bottom"/>
            <w:shd w:val="clear" w:color="auto" w:fill="421B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9"/>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20" w:type="dxa"/>
            <w:vAlign w:val="bottom"/>
            <w:tcBorders>
              <w:bottom w:val="single" w:sz="8" w:color="auto"/>
            </w:tcBorders>
          </w:tcPr>
          <w:p>
            <w:pPr>
              <w:spacing w:after="0"/>
              <w:rPr>
                <w:sz w:val="17"/>
                <w:szCs w:val="17"/>
                <w:color w:val="auto"/>
              </w:rPr>
            </w:pP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715</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1,024</w:t>
            </w:r>
          </w:p>
        </w:tc>
        <w:tc>
          <w:tcPr>
            <w:tcW w:w="280" w:type="dxa"/>
            <w:vAlign w:val="bottom"/>
          </w:tcPr>
          <w:p>
            <w:pPr>
              <w:spacing w:after="0"/>
              <w:rPr>
                <w:sz w:val="16"/>
                <w:szCs w:val="16"/>
                <w:color w:val="auto"/>
              </w:rPr>
            </w:pPr>
          </w:p>
        </w:tc>
      </w:tr>
      <w:tr>
        <w:trPr>
          <w:trHeight w:val="287"/>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ind w:left="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Carbon management business expenses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2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638</w:t>
            </w:r>
          </w:p>
        </w:tc>
        <w:tc>
          <w:tcPr>
            <w:tcW w:w="2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2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Operating (Loss) Income</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393</w:t>
            </w:r>
          </w:p>
        </w:tc>
        <w:tc>
          <w:tcPr>
            <w:tcW w:w="28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subsidiary</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Other non-operating income (loss), net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7"/>
                <w:szCs w:val="17"/>
                <w:color w:val="auto"/>
              </w:rPr>
            </w:pPr>
          </w:p>
        </w:tc>
      </w:tr>
      <w:tr>
        <w:trPr>
          <w:trHeight w:val="326"/>
        </w:trPr>
        <w:tc>
          <w:tcPr>
            <w:tcW w:w="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(Loss) Income Before Income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2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Income tax benefit (provision)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280" w:type="dxa"/>
            <w:vAlign w:val="bottom"/>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Net (Loss) Income</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w:t>
            </w:r>
          </w:p>
        </w:tc>
        <w:tc>
          <w:tcPr>
            <w:tcW w:w="2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820" w:type="dxa"/>
            <w:vAlign w:val="bottom"/>
            <w:gridSpan w:val="2"/>
          </w:tcPr>
          <w:p>
            <w:pPr>
              <w:spacing w:after="0"/>
              <w:rPr>
                <w:sz w:val="20"/>
                <w:szCs w:val="20"/>
                <w:color w:val="auto"/>
              </w:rPr>
            </w:pPr>
            <w:r>
              <w:rPr>
                <w:rFonts w:ascii="Arial" w:cs="Arial" w:eastAsia="Arial" w:hAnsi="Arial"/>
                <w:sz w:val="14"/>
                <w:szCs w:val="14"/>
                <w:color w:val="auto"/>
              </w:rPr>
              <w:t>Net (loss) income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2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0700"/>
          </w:cols>
          <w:pgMar w:left="320" w:top="871" w:right="87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195"/>
        </w:trPr>
        <w:tc>
          <w:tcPr>
            <w:tcW w:w="4560" w:type="dxa"/>
            <w:vAlign w:val="bottom"/>
          </w:tcPr>
          <w:p>
            <w:pPr>
              <w:spacing w:after="0"/>
              <w:rPr>
                <w:sz w:val="20"/>
                <w:szCs w:val="20"/>
                <w:color w:val="auto"/>
              </w:rPr>
            </w:pPr>
            <w:r>
              <w:rPr>
                <w:rFonts w:ascii="Arial" w:cs="Arial" w:eastAsia="Arial" w:hAnsi="Arial"/>
                <w:sz w:val="14"/>
                <w:szCs w:val="14"/>
                <w:color w:val="auto"/>
              </w:rPr>
              <w:t>Net (loss) income per share - diluted</w:t>
            </w:r>
          </w:p>
        </w:tc>
        <w:tc>
          <w:tcPr>
            <w:tcW w:w="148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rPr>
              <w:t>(0.14)</w:t>
            </w:r>
          </w:p>
        </w:tc>
        <w:tc>
          <w:tcPr>
            <w:tcW w:w="56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2.60</w:t>
            </w:r>
          </w:p>
        </w:tc>
        <w:tc>
          <w:tcPr>
            <w:tcW w:w="54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4.09</w:t>
            </w:r>
          </w:p>
        </w:tc>
      </w:tr>
      <w:tr>
        <w:trPr>
          <w:trHeight w:val="360"/>
        </w:trPr>
        <w:tc>
          <w:tcPr>
            <w:tcW w:w="4560" w:type="dxa"/>
            <w:vAlign w:val="bottom"/>
          </w:tcPr>
          <w:p>
            <w:pPr>
              <w:spacing w:after="0"/>
              <w:rPr>
                <w:sz w:val="20"/>
                <w:szCs w:val="20"/>
                <w:color w:val="auto"/>
              </w:rPr>
            </w:pPr>
            <w:r>
              <w:rPr>
                <w:rFonts w:ascii="Arial" w:cs="Arial" w:eastAsia="Arial" w:hAnsi="Arial"/>
                <w:sz w:val="14"/>
                <w:szCs w:val="14"/>
                <w:color w:val="auto"/>
              </w:rPr>
              <w:t>Adjusted net income</w:t>
            </w:r>
          </w:p>
        </w:tc>
        <w:tc>
          <w:tcPr>
            <w:tcW w:w="148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54</w:t>
            </w:r>
          </w:p>
        </w:tc>
        <w:tc>
          <w:tcPr>
            <w:tcW w:w="56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67</w:t>
            </w:r>
          </w:p>
        </w:tc>
        <w:tc>
          <w:tcPr>
            <w:tcW w:w="54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193</w:t>
            </w:r>
          </w:p>
        </w:tc>
      </w:tr>
      <w:tr>
        <w:trPr>
          <w:trHeight w:val="200"/>
        </w:trPr>
        <w:tc>
          <w:tcPr>
            <w:tcW w:w="4560" w:type="dxa"/>
            <w:vAlign w:val="bottom"/>
          </w:tcPr>
          <w:p>
            <w:pPr>
              <w:spacing w:after="0"/>
              <w:rPr>
                <w:sz w:val="20"/>
                <w:szCs w:val="20"/>
                <w:color w:val="auto"/>
              </w:rPr>
            </w:pPr>
            <w:r>
              <w:rPr>
                <w:rFonts w:ascii="Arial" w:cs="Arial" w:eastAsia="Arial" w:hAnsi="Arial"/>
                <w:sz w:val="14"/>
                <w:szCs w:val="14"/>
                <w:color w:val="auto"/>
              </w:rPr>
              <w:t>Adjusted net income per share - basic</w:t>
            </w:r>
          </w:p>
        </w:tc>
        <w:tc>
          <w:tcPr>
            <w:tcW w:w="148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0.78</w:t>
            </w:r>
          </w:p>
        </w:tc>
        <w:tc>
          <w:tcPr>
            <w:tcW w:w="56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0.98</w:t>
            </w:r>
          </w:p>
        </w:tc>
        <w:tc>
          <w:tcPr>
            <w:tcW w:w="54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2.71</w:t>
            </w:r>
          </w:p>
        </w:tc>
      </w:tr>
      <w:tr>
        <w:trPr>
          <w:trHeight w:val="200"/>
        </w:trPr>
        <w:tc>
          <w:tcPr>
            <w:tcW w:w="4560" w:type="dxa"/>
            <w:vAlign w:val="bottom"/>
          </w:tcPr>
          <w:p>
            <w:pPr>
              <w:spacing w:after="0"/>
              <w:rPr>
                <w:sz w:val="20"/>
                <w:szCs w:val="20"/>
                <w:color w:val="auto"/>
              </w:rPr>
            </w:pPr>
            <w:r>
              <w:rPr>
                <w:rFonts w:ascii="Arial" w:cs="Arial" w:eastAsia="Arial" w:hAnsi="Arial"/>
                <w:sz w:val="14"/>
                <w:szCs w:val="14"/>
                <w:color w:val="auto"/>
              </w:rPr>
              <w:t>Adjusted net income per share - diluted</w:t>
            </w:r>
          </w:p>
        </w:tc>
        <w:tc>
          <w:tcPr>
            <w:tcW w:w="148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0.75</w:t>
            </w:r>
          </w:p>
        </w:tc>
        <w:tc>
          <w:tcPr>
            <w:tcW w:w="56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0.93</w:t>
            </w:r>
          </w:p>
        </w:tc>
        <w:tc>
          <w:tcPr>
            <w:tcW w:w="54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2.63</w:t>
            </w:r>
          </w:p>
        </w:tc>
      </w:tr>
      <w:tr>
        <w:trPr>
          <w:trHeight w:val="293"/>
        </w:trPr>
        <w:tc>
          <w:tcPr>
            <w:tcW w:w="4560" w:type="dxa"/>
            <w:vAlign w:val="bottom"/>
          </w:tcPr>
          <w:p>
            <w:pPr>
              <w:spacing w:after="0"/>
              <w:rPr>
                <w:sz w:val="20"/>
                <w:szCs w:val="20"/>
                <w:color w:val="auto"/>
              </w:rPr>
            </w:pPr>
            <w:r>
              <w:rPr>
                <w:rFonts w:ascii="Arial" w:cs="Arial" w:eastAsia="Arial" w:hAnsi="Arial"/>
                <w:sz w:val="14"/>
                <w:szCs w:val="14"/>
                <w:color w:val="auto"/>
              </w:rPr>
              <w:t>Weighted-average common shares outstanding - basic</w:t>
            </w:r>
          </w:p>
        </w:tc>
        <w:tc>
          <w:tcPr>
            <w:tcW w:w="1480" w:type="dxa"/>
            <w:vAlign w:val="bottom"/>
          </w:tcPr>
          <w:p>
            <w:pPr>
              <w:spacing w:after="0"/>
              <w:rPr>
                <w:sz w:val="24"/>
                <w:szCs w:val="24"/>
                <w:color w:val="auto"/>
              </w:rPr>
            </w:pP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69.0</w:t>
            </w:r>
          </w:p>
        </w:tc>
        <w:tc>
          <w:tcPr>
            <w:tcW w:w="560" w:type="dxa"/>
            <w:vAlign w:val="bottom"/>
          </w:tcPr>
          <w:p>
            <w:pPr>
              <w:spacing w:after="0"/>
              <w:rPr>
                <w:sz w:val="24"/>
                <w:szCs w:val="2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68.7</w:t>
            </w:r>
          </w:p>
        </w:tc>
        <w:tc>
          <w:tcPr>
            <w:tcW w:w="54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71.3</w:t>
            </w:r>
          </w:p>
        </w:tc>
      </w:tr>
      <w:tr>
        <w:trPr>
          <w:trHeight w:val="200"/>
        </w:trPr>
        <w:tc>
          <w:tcPr>
            <w:tcW w:w="4560" w:type="dxa"/>
            <w:vAlign w:val="bottom"/>
          </w:tcPr>
          <w:p>
            <w:pPr>
              <w:spacing w:after="0"/>
              <w:rPr>
                <w:sz w:val="20"/>
                <w:szCs w:val="20"/>
                <w:color w:val="auto"/>
              </w:rPr>
            </w:pPr>
            <w:r>
              <w:rPr>
                <w:rFonts w:ascii="Arial" w:cs="Arial" w:eastAsia="Arial" w:hAnsi="Arial"/>
                <w:sz w:val="14"/>
                <w:szCs w:val="14"/>
                <w:color w:val="auto"/>
              </w:rPr>
              <w:t>Weighted-average common shares outstanding - diluted</w:t>
            </w:r>
          </w:p>
        </w:tc>
        <w:tc>
          <w:tcPr>
            <w:tcW w:w="1480" w:type="dxa"/>
            <w:vAlign w:val="bottom"/>
          </w:tcPr>
          <w:p>
            <w:pPr>
              <w:spacing w:after="0"/>
              <w:rPr>
                <w:sz w:val="17"/>
                <w:szCs w:val="17"/>
                <w:color w:val="auto"/>
              </w:rPr>
            </w:pP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69.0</w:t>
            </w:r>
          </w:p>
        </w:tc>
        <w:tc>
          <w:tcPr>
            <w:tcW w:w="560" w:type="dxa"/>
            <w:vAlign w:val="bottom"/>
          </w:tcPr>
          <w:p>
            <w:pPr>
              <w:spacing w:after="0"/>
              <w:rPr>
                <w:sz w:val="17"/>
                <w:szCs w:val="17"/>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72.3</w:t>
            </w:r>
          </w:p>
        </w:tc>
        <w:tc>
          <w:tcPr>
            <w:tcW w:w="54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73.5</w:t>
            </w:r>
          </w:p>
        </w:tc>
      </w:tr>
      <w:tr>
        <w:trPr>
          <w:trHeight w:val="253"/>
        </w:trPr>
        <w:tc>
          <w:tcPr>
            <w:tcW w:w="4560" w:type="dxa"/>
            <w:vAlign w:val="bottom"/>
          </w:tcPr>
          <w:p>
            <w:pPr>
              <w:spacing w:after="0"/>
              <w:rPr>
                <w:sz w:val="20"/>
                <w:szCs w:val="20"/>
                <w:color w:val="auto"/>
              </w:rPr>
            </w:pPr>
            <w:r>
              <w:rPr>
                <w:rFonts w:ascii="Arial" w:cs="Arial" w:eastAsia="Arial" w:hAnsi="Arial"/>
                <w:sz w:val="14"/>
                <w:szCs w:val="14"/>
                <w:color w:val="auto"/>
              </w:rPr>
              <w:t>Adjusted EBITDAX</w:t>
            </w:r>
          </w:p>
        </w:tc>
        <w:tc>
          <w:tcPr>
            <w:tcW w:w="148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69"/>
              <w:spacing w:after="0"/>
              <w:rPr>
                <w:sz w:val="20"/>
                <w:szCs w:val="20"/>
                <w:color w:val="auto"/>
              </w:rPr>
            </w:pPr>
            <w:r>
              <w:rPr>
                <w:rFonts w:ascii="Arial" w:cs="Arial" w:eastAsia="Arial" w:hAnsi="Arial"/>
                <w:sz w:val="14"/>
                <w:szCs w:val="14"/>
                <w:b w:val="1"/>
                <w:bCs w:val="1"/>
                <w:color w:val="auto"/>
              </w:rPr>
              <w:t>149</w:t>
            </w:r>
          </w:p>
        </w:tc>
        <w:tc>
          <w:tcPr>
            <w:tcW w:w="56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rPr>
              <w:t>179</w:t>
            </w:r>
          </w:p>
        </w:tc>
        <w:tc>
          <w:tcPr>
            <w:tcW w:w="540" w:type="dxa"/>
            <w:vAlign w:val="bottom"/>
          </w:tcPr>
          <w:p>
            <w:pPr>
              <w:jc w:val="right"/>
              <w:ind w:right="30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358</w:t>
            </w:r>
          </w:p>
        </w:tc>
      </w:tr>
      <w:tr>
        <w:trPr>
          <w:trHeight w:val="200"/>
        </w:trPr>
        <w:tc>
          <w:tcPr>
            <w:tcW w:w="4560" w:type="dxa"/>
            <w:vAlign w:val="bottom"/>
          </w:tcPr>
          <w:p>
            <w:pPr>
              <w:spacing w:after="0"/>
              <w:rPr>
                <w:sz w:val="20"/>
                <w:szCs w:val="20"/>
                <w:color w:val="auto"/>
              </w:rPr>
            </w:pPr>
            <w:r>
              <w:rPr>
                <w:rFonts w:ascii="Arial" w:cs="Arial" w:eastAsia="Arial" w:hAnsi="Arial"/>
                <w:sz w:val="14"/>
                <w:szCs w:val="14"/>
                <w:color w:val="auto"/>
              </w:rPr>
              <w:t>Effective tax rate</w:t>
            </w:r>
          </w:p>
        </w:tc>
        <w:tc>
          <w:tcPr>
            <w:tcW w:w="1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45 %</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r>
      <w:tr>
        <w:trPr>
          <w:trHeight w:val="193"/>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Cash Flow Data:</w:t>
            </w:r>
          </w:p>
        </w:tc>
        <w:tc>
          <w:tcPr>
            <w:tcW w:w="1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131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310</w:t>
            </w: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69"/>
              <w:spacing w:after="0"/>
              <w:rPr>
                <w:sz w:val="20"/>
                <w:szCs w:val="20"/>
                <w:color w:val="auto"/>
              </w:rPr>
            </w:pPr>
            <w:r>
              <w:rPr>
                <w:rFonts w:ascii="Arial" w:cs="Arial" w:eastAsia="Arial" w:hAnsi="Arial"/>
                <w:sz w:val="14"/>
                <w:szCs w:val="14"/>
                <w:b w:val="1"/>
                <w:bCs w:val="1"/>
                <w:color w:val="auto"/>
              </w:rPr>
              <w:t>(42)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(61)</w:t>
            </w: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69"/>
              <w:spacing w:after="0"/>
              <w:rPr>
                <w:sz w:val="20"/>
                <w:szCs w:val="20"/>
                <w:color w:val="auto"/>
              </w:rPr>
            </w:pPr>
            <w:r>
              <w:rPr>
                <w:rFonts w:ascii="Arial" w:cs="Arial" w:eastAsia="Arial" w:hAnsi="Arial"/>
                <w:sz w:val="14"/>
                <w:szCs w:val="14"/>
                <w:b w:val="1"/>
                <w:bCs w:val="1"/>
                <w:color w:val="auto"/>
              </w:rPr>
              <w:t>(72)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(79)</w:t>
            </w:r>
          </w:p>
        </w:tc>
      </w:tr>
      <w:tr>
        <w:trPr>
          <w:trHeight w:val="466"/>
        </w:trPr>
        <w:tc>
          <w:tcPr>
            <w:tcW w:w="4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20" w:type="dxa"/>
            <w:vAlign w:val="bottom"/>
          </w:tcPr>
          <w:p>
            <w:pPr>
              <w:jc w:val="center"/>
              <w:ind w:right="10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3"/>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Selected Balance Sheet Data:</w:t>
            </w:r>
          </w:p>
        </w:tc>
        <w:tc>
          <w:tcPr>
            <w:tcW w:w="1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839</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2,793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2,770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616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541</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7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2,093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2,219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483235</wp:posOffset>
            </wp:positionV>
            <wp:extent cx="6254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5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13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22"/>
                <w:szCs w:val="22"/>
                <w:color w:val="auto"/>
              </w:rPr>
            </w:pPr>
          </w:p>
        </w:tc>
        <w:tc>
          <w:tcPr>
            <w:tcW w:w="1060" w:type="dxa"/>
            <w:vAlign w:val="bottom"/>
          </w:tcPr>
          <w:p>
            <w:pPr>
              <w:jc w:val="right"/>
              <w:ind w:right="189"/>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3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40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170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23"/>
                <w:szCs w:val="23"/>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400" w:type="dxa"/>
            <w:vAlign w:val="bottom"/>
          </w:tcPr>
          <w:p>
            <w:pPr>
              <w:ind w:left="140"/>
              <w:spacing w:after="0"/>
              <w:rPr>
                <w:sz w:val="20"/>
                <w:szCs w:val="20"/>
                <w:color w:val="auto"/>
              </w:rPr>
            </w:pPr>
            <w:r>
              <w:rPr>
                <w:rFonts w:ascii="Arial" w:cs="Arial" w:eastAsia="Arial" w:hAnsi="Arial"/>
                <w:sz w:val="14"/>
                <w:szCs w:val="14"/>
                <w:color w:val="auto"/>
              </w:rPr>
              <w:t>Net payments on settled commodity derivatives</w:t>
            </w:r>
          </w:p>
        </w:tc>
        <w:tc>
          <w:tcPr>
            <w:tcW w:w="1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00" w:type="dxa"/>
            <w:vAlign w:val="bottom"/>
          </w:tcPr>
          <w:p>
            <w:pPr>
              <w:ind w:left="260"/>
              <w:spacing w:after="0"/>
              <w:rPr>
                <w:sz w:val="20"/>
                <w:szCs w:val="20"/>
                <w:color w:val="auto"/>
              </w:rPr>
            </w:pPr>
            <w:r>
              <w:rPr>
                <w:rFonts w:ascii="Arial" w:cs="Arial" w:eastAsia="Arial" w:hAnsi="Arial"/>
                <w:sz w:val="14"/>
                <w:szCs w:val="14"/>
                <w:color w:val="auto"/>
              </w:rPr>
              <w:t>Net (loss) gain from commodity derivatives</w:t>
            </w:r>
          </w:p>
        </w:tc>
        <w:tc>
          <w:tcPr>
            <w:tcW w:w="132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40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1st Quarter</w:t>
            </w:r>
          </w:p>
        </w:tc>
        <w:tc>
          <w:tcPr>
            <w:tcW w:w="170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4th</w:t>
            </w:r>
          </w:p>
        </w:tc>
        <w:tc>
          <w:tcPr>
            <w:tcW w:w="126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4th</w:t>
            </w:r>
          </w:p>
        </w:tc>
        <w:tc>
          <w:tcPr>
            <w:tcW w:w="1060" w:type="dxa"/>
            <w:vAlign w:val="bottom"/>
          </w:tcPr>
          <w:p>
            <w:pPr>
              <w:spacing w:after="0"/>
              <w:rPr>
                <w:sz w:val="24"/>
                <w:szCs w:val="24"/>
                <w:color w:val="auto"/>
              </w:rPr>
            </w:pPr>
          </w:p>
        </w:tc>
        <w:tc>
          <w:tcPr>
            <w:tcW w:w="1340" w:type="dxa"/>
            <w:vAlign w:val="bottom"/>
            <w:gridSpan w:val="3"/>
            <w:vMerge w:val="restart"/>
          </w:tcPr>
          <w:p>
            <w:pPr>
              <w:jc w:val="right"/>
              <w:ind w:right="509"/>
              <w:spacing w:after="0"/>
              <w:rPr>
                <w:sz w:val="20"/>
                <w:szCs w:val="20"/>
                <w:color w:val="auto"/>
              </w:rPr>
            </w:pPr>
            <w:r>
              <w:rPr>
                <w:rFonts w:ascii="Arial" w:cs="Arial" w:eastAsia="Arial" w:hAnsi="Arial"/>
                <w:sz w:val="14"/>
                <w:szCs w:val="14"/>
                <w:color w:val="auto"/>
              </w:rPr>
              <w:t>4th Quarter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400" w:type="dxa"/>
            <w:vAlign w:val="bottom"/>
            <w:vMerge w:val="continue"/>
          </w:tcPr>
          <w:p>
            <w:pPr>
              <w:spacing w:after="0"/>
              <w:rPr>
                <w:sz w:val="17"/>
                <w:szCs w:val="17"/>
                <w:color w:val="auto"/>
              </w:rPr>
            </w:pPr>
          </w:p>
        </w:tc>
        <w:tc>
          <w:tcPr>
            <w:tcW w:w="1700" w:type="dxa"/>
            <w:vAlign w:val="bottom"/>
            <w:gridSpan w:val="2"/>
          </w:tcPr>
          <w:p>
            <w:pPr>
              <w:jc w:val="right"/>
              <w:ind w:right="29"/>
              <w:spacing w:after="0"/>
              <w:rPr>
                <w:sz w:val="20"/>
                <w:szCs w:val="20"/>
                <w:color w:val="auto"/>
              </w:rPr>
            </w:pPr>
            <w:r>
              <w:rPr>
                <w:rFonts w:ascii="Arial" w:cs="Arial" w:eastAsia="Arial" w:hAnsi="Arial"/>
                <w:sz w:val="14"/>
                <w:szCs w:val="14"/>
                <w:color w:val="auto"/>
              </w:rPr>
              <w:t xml:space="preserve">1st Quarter   </w:t>
            </w:r>
            <w:r>
              <w:rPr>
                <w:rFonts w:ascii="Arial" w:cs="Arial" w:eastAsia="Arial" w:hAnsi="Arial"/>
                <w:sz w:val="14"/>
                <w:szCs w:val="14"/>
                <w:b w:val="1"/>
                <w:bCs w:val="1"/>
                <w:color w:val="auto"/>
              </w:rPr>
              <w:t>Quarter</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106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000"/>
          </w:cols>
          <w:pgMar w:left="860" w:top="930" w:right="10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53"/>
        </w:trPr>
        <w:tc>
          <w:tcPr>
            <w:tcW w:w="5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2"/>
                <w:szCs w:val="22"/>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2"/>
                <w:szCs w:val="22"/>
                <w:color w:val="auto"/>
              </w:rPr>
            </w:pPr>
          </w:p>
        </w:tc>
      </w:tr>
      <w:tr>
        <w:trPr>
          <w:trHeight w:val="20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r>
      <w:tr>
        <w:trPr>
          <w:trHeight w:val="278"/>
        </w:trPr>
        <w:tc>
          <w:tcPr>
            <w:tcW w:w="594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24"/>
                <w:szCs w:val="24"/>
                <w:color w:val="auto"/>
              </w:rPr>
            </w:pPr>
          </w:p>
        </w:tc>
      </w:tr>
      <w:tr>
        <w:trPr>
          <w:trHeight w:val="195"/>
        </w:trPr>
        <w:tc>
          <w:tcPr>
            <w:tcW w:w="5940" w:type="dxa"/>
            <w:vAlign w:val="bottom"/>
          </w:tcPr>
          <w:p>
            <w:pPr>
              <w:ind w:left="140"/>
              <w:spacing w:after="0"/>
              <w:rPr>
                <w:sz w:val="20"/>
                <w:szCs w:val="20"/>
                <w:color w:val="auto"/>
              </w:rPr>
            </w:pPr>
            <w:r>
              <w:rPr>
                <w:rFonts w:ascii="Arial" w:cs="Arial" w:eastAsia="Arial" w:hAnsi="Arial"/>
                <w:sz w:val="14"/>
                <w:szCs w:val="14"/>
                <w:color w:val="auto"/>
              </w:rPr>
              <w:t>Drilling</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80" w:type="dxa"/>
            <w:vAlign w:val="bottom"/>
          </w:tcPr>
          <w:p>
            <w:pPr>
              <w:spacing w:after="0"/>
              <w:rPr>
                <w:sz w:val="16"/>
                <w:szCs w:val="16"/>
                <w:color w:val="auto"/>
              </w:rPr>
            </w:pPr>
          </w:p>
        </w:tc>
      </w:tr>
      <w:tr>
        <w:trPr>
          <w:trHeight w:val="200"/>
        </w:trPr>
        <w:tc>
          <w:tcPr>
            <w:tcW w:w="594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17"/>
                <w:szCs w:val="17"/>
                <w:color w:val="auto"/>
              </w:rPr>
            </w:pPr>
          </w:p>
        </w:tc>
      </w:tr>
      <w:tr>
        <w:trPr>
          <w:trHeight w:val="193"/>
        </w:trPr>
        <w:tc>
          <w:tcPr>
            <w:tcW w:w="594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80" w:type="dxa"/>
            <w:vAlign w:val="bottom"/>
          </w:tcPr>
          <w:p>
            <w:pPr>
              <w:spacing w:after="0"/>
              <w:rPr>
                <w:sz w:val="16"/>
                <w:szCs w:val="16"/>
                <w:color w:val="auto"/>
              </w:rPr>
            </w:pPr>
          </w:p>
        </w:tc>
      </w:tr>
      <w:tr>
        <w:trPr>
          <w:trHeight w:val="205"/>
        </w:trPr>
        <w:tc>
          <w:tcPr>
            <w:tcW w:w="5940" w:type="dxa"/>
            <w:vAlign w:val="bottom"/>
          </w:tcPr>
          <w:p>
            <w:pPr>
              <w:ind w:left="140"/>
              <w:spacing w:after="0" w:line="205" w:lineRule="exact"/>
              <w:rPr>
                <w:sz w:val="20"/>
                <w:szCs w:val="20"/>
                <w:color w:val="auto"/>
              </w:rPr>
            </w:pPr>
            <w:r>
              <w:rPr>
                <w:rFonts w:ascii="Arial" w:cs="Arial" w:eastAsia="Arial" w:hAnsi="Arial"/>
                <w:sz w:val="23"/>
                <w:szCs w:val="23"/>
                <w:color w:val="auto"/>
                <w:vertAlign w:val="subscript"/>
              </w:rPr>
              <w:t>CMB</w:t>
            </w:r>
            <w:r>
              <w:rPr>
                <w:rFonts w:ascii="Arial" w:cs="Arial" w:eastAsia="Arial" w:hAnsi="Arial"/>
                <w:sz w:val="8"/>
                <w:szCs w:val="8"/>
                <w:color w:val="auto"/>
              </w:rPr>
              <w:t xml:space="preserve"> (1)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r>
      <w:tr>
        <w:trPr>
          <w:trHeight w:val="195"/>
        </w:trPr>
        <w:tc>
          <w:tcPr>
            <w:tcW w:w="594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16"/>
                <w:szCs w:val="16"/>
                <w:color w:val="auto"/>
              </w:rPr>
            </w:pPr>
          </w:p>
        </w:tc>
      </w:tr>
      <w:tr>
        <w:trPr>
          <w:trHeight w:val="194"/>
        </w:trPr>
        <w:tc>
          <w:tcPr>
            <w:tcW w:w="594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8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647700</wp:posOffset>
            </wp:positionH>
            <wp:positionV relativeFrom="page">
              <wp:posOffset>588010</wp:posOffset>
            </wp:positionV>
            <wp:extent cx="6254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4115" cy="8255"/>
                    </a:xfrm>
                    <a:prstGeom prst="rect">
                      <a:avLst/>
                    </a:prstGeom>
                    <a:noFill/>
                  </pic:spPr>
                </pic:pic>
              </a:graphicData>
            </a:graphic>
          </wp:anchor>
        </w:drawing>
      </w:r>
    </w:p>
    <w:p>
      <w:pPr>
        <w:jc w:val="both"/>
        <w:ind w:left="20" w:right="20" w:hanging="3"/>
        <w:spacing w:after="0"/>
        <w:tabs>
          <w:tab w:leader="none" w:pos="158"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Facilities capital includes $0, $1 million and $1 million in the first quarter of 2024 and fourth and first quarter of 2023,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Earnings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9840"/>
          </w:cols>
          <w:pgMar w:left="1020" w:top="946" w:right="1039" w:bottom="1440" w:gutter="0" w:footer="0" w:header="0"/>
        </w:sectPr>
      </w:pPr>
    </w:p>
    <w:bookmarkStart w:id="17" w:name="page18"/>
    <w:bookmarkEnd w:id="17"/>
    <w:p>
      <w:pPr>
        <w:ind w:left="1032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2024 PRELIMINARY OUTLOOK</w:t>
            </w: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 2024E</w:t>
            </w:r>
          </w:p>
        </w:tc>
        <w:tc>
          <w:tcPr>
            <w:tcW w:w="10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DBDBDB"/>
            </w:tcBorders>
          </w:tcPr>
          <w:p>
            <w:pPr>
              <w:spacing w:after="0"/>
              <w:rPr>
                <w:sz w:val="18"/>
                <w:szCs w:val="18"/>
                <w:color w:val="auto"/>
              </w:rPr>
            </w:pPr>
          </w:p>
        </w:tc>
      </w:tr>
      <w:tr>
        <w:trPr>
          <w:trHeight w:val="194"/>
        </w:trPr>
        <w:tc>
          <w:tcPr>
            <w:tcW w:w="74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Production (MBoe/d)</w:t>
            </w:r>
          </w:p>
        </w:tc>
        <w:tc>
          <w:tcPr>
            <w:tcW w:w="120" w:type="dxa"/>
            <w:vAlign w:val="bottom"/>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- 79</w:t>
            </w:r>
          </w:p>
        </w:tc>
        <w:tc>
          <w:tcPr>
            <w:tcW w:w="100" w:type="dxa"/>
            <w:vAlign w:val="bottom"/>
          </w:tcPr>
          <w:p>
            <w:pPr>
              <w:spacing w:after="0"/>
              <w:rPr>
                <w:sz w:val="16"/>
                <w:szCs w:val="16"/>
                <w:color w:val="auto"/>
              </w:rPr>
            </w:pPr>
          </w:p>
        </w:tc>
        <w:tc>
          <w:tcPr>
            <w:tcW w:w="2040" w:type="dxa"/>
            <w:vAlign w:val="bottom"/>
            <w:shd w:val="clear" w:color="auto" w:fill="DBDBDB"/>
          </w:tcPr>
          <w:p>
            <w:pPr>
              <w:spacing w:after="0"/>
              <w:rPr>
                <w:sz w:val="16"/>
                <w:szCs w:val="16"/>
                <w:color w:val="auto"/>
              </w:rPr>
            </w:pPr>
          </w:p>
        </w:tc>
      </w:tr>
      <w:tr>
        <w:trPr>
          <w:trHeight w:val="196"/>
        </w:trPr>
        <w:tc>
          <w:tcPr>
            <w:tcW w:w="7420" w:type="dxa"/>
            <w:vAlign w:val="bottom"/>
          </w:tcPr>
          <w:p>
            <w:pPr>
              <w:ind w:left="140"/>
              <w:spacing w:after="0"/>
              <w:rPr>
                <w:sz w:val="20"/>
                <w:szCs w:val="20"/>
                <w:color w:val="auto"/>
              </w:rPr>
            </w:pPr>
            <w:r>
              <w:rPr>
                <w:rFonts w:ascii="Arial" w:cs="Arial" w:eastAsia="Arial" w:hAnsi="Arial"/>
                <w:sz w:val="14"/>
                <w:szCs w:val="14"/>
                <w:color w:val="auto"/>
              </w:rPr>
              <w:t>Oil Production (%)</w:t>
            </w:r>
          </w:p>
        </w:tc>
        <w:tc>
          <w:tcPr>
            <w:tcW w:w="1680" w:type="dxa"/>
            <w:vAlign w:val="bottom"/>
            <w:gridSpan w:val="3"/>
          </w:tcPr>
          <w:p>
            <w:pPr>
              <w:jc w:val="right"/>
              <w:ind w:right="529"/>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4"/>
        </w:trPr>
        <w:tc>
          <w:tcPr>
            <w:tcW w:w="74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Capital ($ millions)</w:t>
            </w:r>
          </w:p>
        </w:tc>
        <w:tc>
          <w:tcPr>
            <w:tcW w:w="12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$240</w:t>
            </w:r>
          </w:p>
        </w:tc>
        <w:tc>
          <w:tcPr>
            <w:tcW w:w="100" w:type="dxa"/>
            <w:vAlign w:val="bottom"/>
          </w:tcPr>
          <w:p>
            <w:pPr>
              <w:spacing w:after="0"/>
              <w:rPr>
                <w:sz w:val="17"/>
                <w:szCs w:val="17"/>
                <w:color w:val="auto"/>
              </w:rPr>
            </w:pPr>
          </w:p>
        </w:tc>
        <w:tc>
          <w:tcPr>
            <w:tcW w:w="2040" w:type="dxa"/>
            <w:vAlign w:val="bottom"/>
            <w:shd w:val="clear" w:color="auto" w:fill="DBDBDB"/>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08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8825" cy="825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200" w:type="dxa"/>
            <w:vAlign w:val="bottom"/>
            <w:tcBorders>
              <w:top w:val="single" w:sz="8" w:color="auto"/>
            </w:tcBorders>
            <w:gridSpan w:val="2"/>
          </w:tcPr>
          <w:p>
            <w:pPr>
              <w:ind w:left="1240"/>
              <w:spacing w:after="0" w:line="160"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ind w:left="600"/>
              <w:spacing w:after="0" w:line="160" w:lineRule="exact"/>
              <w:rPr>
                <w:sz w:val="20"/>
                <w:szCs w:val="20"/>
                <w:color w:val="auto"/>
              </w:rPr>
            </w:pPr>
            <w:r>
              <w:rPr>
                <w:rFonts w:ascii="Arial" w:cs="Arial" w:eastAsia="Arial" w:hAnsi="Arial"/>
                <w:sz w:val="14"/>
                <w:szCs w:val="14"/>
                <w:b w:val="1"/>
                <w:bCs w:val="1"/>
                <w:color w:val="auto"/>
              </w:rPr>
              <w:t>CMB</w:t>
            </w:r>
          </w:p>
        </w:tc>
        <w:tc>
          <w:tcPr>
            <w:tcW w:w="10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E&amp;P, Corp. &amp; Other 2Q24E</w:t>
            </w:r>
          </w:p>
        </w:tc>
        <w:tc>
          <w:tcPr>
            <w:tcW w:w="0" w:type="dxa"/>
            <w:vAlign w:val="bottom"/>
          </w:tcPr>
          <w:p>
            <w:pPr>
              <w:spacing w:after="0"/>
              <w:rPr>
                <w:sz w:val="1"/>
                <w:szCs w:val="1"/>
                <w:color w:val="auto"/>
              </w:rPr>
            </w:pPr>
          </w:p>
        </w:tc>
      </w:tr>
      <w:tr>
        <w:trPr>
          <w:trHeight w:val="187"/>
        </w:trPr>
        <w:tc>
          <w:tcPr>
            <w:tcW w:w="522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gridSpan w:val="2"/>
          </w:tcPr>
          <w:p>
            <w:pPr>
              <w:jc w:val="center"/>
              <w:ind w:left="589"/>
              <w:spacing w:after="0"/>
              <w:rPr>
                <w:sz w:val="20"/>
                <w:szCs w:val="20"/>
                <w:color w:val="auto"/>
              </w:rPr>
            </w:pPr>
            <w:r>
              <w:rPr>
                <w:rFonts w:ascii="Arial" w:cs="Arial" w:eastAsia="Arial" w:hAnsi="Arial"/>
                <w:sz w:val="14"/>
                <w:szCs w:val="14"/>
                <w:b w:val="1"/>
                <w:bCs w:val="1"/>
                <w:color w:val="auto"/>
              </w:rPr>
              <w:t>2Q24E</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2Q24E</w:t>
            </w:r>
          </w:p>
        </w:tc>
        <w:tc>
          <w:tcPr>
            <w:tcW w:w="100" w:type="dxa"/>
            <w:vAlign w:val="bottom"/>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Production (MBoe/d)</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- 78</w:t>
            </w:r>
          </w:p>
        </w:tc>
        <w:tc>
          <w:tcPr>
            <w:tcW w:w="120" w:type="dxa"/>
            <w:vAlign w:val="bottom"/>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- 78</w:t>
            </w:r>
          </w:p>
        </w:tc>
        <w:tc>
          <w:tcPr>
            <w:tcW w:w="0" w:type="dxa"/>
            <w:vAlign w:val="bottom"/>
          </w:tcPr>
          <w:p>
            <w:pPr>
              <w:spacing w:after="0"/>
              <w:rPr>
                <w:sz w:val="1"/>
                <w:szCs w:val="1"/>
                <w:color w:val="auto"/>
              </w:rPr>
            </w:pPr>
          </w:p>
        </w:tc>
      </w:tr>
      <w:tr>
        <w:trPr>
          <w:trHeight w:val="196"/>
        </w:trPr>
        <w:tc>
          <w:tcPr>
            <w:tcW w:w="5220" w:type="dxa"/>
            <w:vAlign w:val="bottom"/>
          </w:tcPr>
          <w:p>
            <w:pPr>
              <w:ind w:left="140"/>
              <w:spacing w:after="0"/>
              <w:rPr>
                <w:sz w:val="20"/>
                <w:szCs w:val="20"/>
                <w:color w:val="auto"/>
              </w:rPr>
            </w:pPr>
            <w:r>
              <w:rPr>
                <w:rFonts w:ascii="Arial" w:cs="Arial" w:eastAsia="Arial" w:hAnsi="Arial"/>
                <w:sz w:val="14"/>
                <w:szCs w:val="14"/>
                <w:color w:val="auto"/>
              </w:rPr>
              <w:t>Oil Production (%)</w:t>
            </w:r>
          </w:p>
        </w:tc>
        <w:tc>
          <w:tcPr>
            <w:tcW w:w="2200" w:type="dxa"/>
            <w:vAlign w:val="bottom"/>
            <w:gridSpan w:val="2"/>
          </w:tcPr>
          <w:p>
            <w:pPr>
              <w:jc w:val="center"/>
              <w:ind w:left="589"/>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w w:val="99"/>
              </w:rPr>
              <w:t>~61%</w:t>
            </w:r>
          </w:p>
        </w:tc>
        <w:tc>
          <w:tcPr>
            <w:tcW w:w="0" w:type="dxa"/>
            <w:vAlign w:val="bottom"/>
          </w:tcPr>
          <w:p>
            <w:pPr>
              <w:spacing w:after="0"/>
              <w:rPr>
                <w:sz w:val="1"/>
                <w:szCs w:val="1"/>
                <w:color w:val="auto"/>
              </w:rPr>
            </w:pPr>
          </w:p>
        </w:tc>
      </w:tr>
      <w:tr>
        <w:trPr>
          <w:trHeight w:val="204"/>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 &amp; Operating Costs ($ millions)</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$183</w:t>
            </w:r>
          </w:p>
        </w:tc>
        <w:tc>
          <w:tcPr>
            <w:tcW w:w="120" w:type="dxa"/>
            <w:vAlign w:val="bottom"/>
          </w:tcPr>
          <w:p>
            <w:pPr>
              <w:spacing w:after="0"/>
              <w:rPr>
                <w:sz w:val="17"/>
                <w:szCs w:val="17"/>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$10 - $13</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$170</w:t>
            </w:r>
          </w:p>
        </w:tc>
        <w:tc>
          <w:tcPr>
            <w:tcW w:w="0" w:type="dxa"/>
            <w:vAlign w:val="bottom"/>
          </w:tcPr>
          <w:p>
            <w:pPr>
              <w:spacing w:after="0"/>
              <w:rPr>
                <w:sz w:val="1"/>
                <w:szCs w:val="1"/>
                <w:color w:val="auto"/>
              </w:rPr>
            </w:pPr>
          </w:p>
        </w:tc>
      </w:tr>
      <w:tr>
        <w:trPr>
          <w:trHeight w:val="196"/>
        </w:trPr>
        <w:tc>
          <w:tcPr>
            <w:tcW w:w="522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380" w:type="dxa"/>
            <w:vAlign w:val="bottom"/>
          </w:tcPr>
          <w:p>
            <w:pPr>
              <w:jc w:val="right"/>
              <w:spacing w:after="0"/>
              <w:rPr>
                <w:sz w:val="20"/>
                <w:szCs w:val="20"/>
                <w:color w:val="auto"/>
              </w:rPr>
            </w:pPr>
            <w:r>
              <w:rPr>
                <w:rFonts w:ascii="Arial" w:cs="Arial" w:eastAsia="Arial" w:hAnsi="Arial"/>
                <w:sz w:val="14"/>
                <w:szCs w:val="14"/>
                <w:color w:val="auto"/>
              </w:rPr>
              <w:t>$56</w:t>
            </w:r>
          </w:p>
        </w:tc>
        <w:tc>
          <w:tcPr>
            <w:tcW w:w="820" w:type="dxa"/>
            <w:vAlign w:val="bottom"/>
          </w:tcPr>
          <w:p>
            <w:pPr>
              <w:ind w:left="20"/>
              <w:spacing w:after="0"/>
              <w:rPr>
                <w:sz w:val="20"/>
                <w:szCs w:val="20"/>
                <w:color w:val="auto"/>
              </w:rPr>
            </w:pPr>
            <w:r>
              <w:rPr>
                <w:rFonts w:ascii="Arial" w:cs="Arial" w:eastAsia="Arial" w:hAnsi="Arial"/>
                <w:sz w:val="14"/>
                <w:szCs w:val="14"/>
                <w:color w:val="auto"/>
              </w:rPr>
              <w:t>- $64</w:t>
            </w:r>
          </w:p>
        </w:tc>
        <w:tc>
          <w:tcPr>
            <w:tcW w:w="1680" w:type="dxa"/>
            <w:vAlign w:val="bottom"/>
            <w:gridSpan w:val="2"/>
          </w:tcPr>
          <w:p>
            <w:pPr>
              <w:jc w:val="center"/>
              <w:ind w:left="49"/>
              <w:spacing w:after="0"/>
              <w:rPr>
                <w:sz w:val="20"/>
                <w:szCs w:val="20"/>
                <w:color w:val="auto"/>
              </w:rPr>
            </w:pPr>
            <w:r>
              <w:rPr>
                <w:rFonts w:ascii="Arial" w:cs="Arial" w:eastAsia="Arial" w:hAnsi="Arial"/>
                <w:sz w:val="14"/>
                <w:szCs w:val="14"/>
                <w:color w:val="auto"/>
              </w:rPr>
              <w:t>$1 - $3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040" w:type="dxa"/>
            <w:vAlign w:val="bottom"/>
          </w:tcPr>
          <w:p>
            <w:pPr>
              <w:ind w:left="20"/>
              <w:spacing w:after="0"/>
              <w:rPr>
                <w:sz w:val="20"/>
                <w:szCs w:val="20"/>
                <w:color w:val="auto"/>
              </w:rPr>
            </w:pPr>
            <w:r>
              <w:rPr>
                <w:rFonts w:ascii="Arial" w:cs="Arial" w:eastAsia="Arial" w:hAnsi="Arial"/>
                <w:sz w:val="14"/>
                <w:szCs w:val="14"/>
                <w:color w:val="auto"/>
              </w:rPr>
              <w:t>- $61</w:t>
            </w:r>
          </w:p>
        </w:tc>
        <w:tc>
          <w:tcPr>
            <w:tcW w:w="0" w:type="dxa"/>
            <w:vAlign w:val="bottom"/>
          </w:tcPr>
          <w:p>
            <w:pPr>
              <w:spacing w:after="0"/>
              <w:rPr>
                <w:sz w:val="1"/>
                <w:szCs w:val="1"/>
                <w:color w:val="auto"/>
              </w:rPr>
            </w:pPr>
          </w:p>
        </w:tc>
      </w:tr>
      <w:tr>
        <w:trPr>
          <w:trHeight w:val="204"/>
        </w:trPr>
        <w:tc>
          <w:tcPr>
            <w:tcW w:w="522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$49</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$57</w:t>
            </w:r>
          </w:p>
        </w:tc>
        <w:tc>
          <w:tcPr>
            <w:tcW w:w="120" w:type="dxa"/>
            <w:vAlign w:val="bottom"/>
          </w:tcPr>
          <w:p>
            <w:pPr>
              <w:spacing w:after="0"/>
              <w:rPr>
                <w:sz w:val="17"/>
                <w:szCs w:val="17"/>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$1 - $3</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$48</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$54</w:t>
            </w:r>
          </w:p>
        </w:tc>
        <w:tc>
          <w:tcPr>
            <w:tcW w:w="0" w:type="dxa"/>
            <w:vAlign w:val="bottom"/>
          </w:tcPr>
          <w:p>
            <w:pPr>
              <w:spacing w:after="0"/>
              <w:rPr>
                <w:sz w:val="1"/>
                <w:szCs w:val="1"/>
                <w:color w:val="auto"/>
              </w:rPr>
            </w:pPr>
          </w:p>
        </w:tc>
      </w:tr>
      <w:tr>
        <w:trPr>
          <w:trHeight w:val="196"/>
        </w:trPr>
        <w:tc>
          <w:tcPr>
            <w:tcW w:w="522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380" w:type="dxa"/>
            <w:vAlign w:val="bottom"/>
          </w:tcPr>
          <w:p>
            <w:pPr>
              <w:jc w:val="right"/>
              <w:spacing w:after="0"/>
              <w:rPr>
                <w:sz w:val="20"/>
                <w:szCs w:val="20"/>
                <w:color w:val="auto"/>
              </w:rPr>
            </w:pPr>
            <w:r>
              <w:rPr>
                <w:rFonts w:ascii="Arial" w:cs="Arial" w:eastAsia="Arial" w:hAnsi="Arial"/>
                <w:sz w:val="14"/>
                <w:szCs w:val="14"/>
                <w:color w:val="auto"/>
              </w:rPr>
              <w:t>$50</w:t>
            </w:r>
          </w:p>
        </w:tc>
        <w:tc>
          <w:tcPr>
            <w:tcW w:w="820" w:type="dxa"/>
            <w:vAlign w:val="bottom"/>
          </w:tcPr>
          <w:p>
            <w:pPr>
              <w:ind w:left="20"/>
              <w:spacing w:after="0"/>
              <w:rPr>
                <w:sz w:val="20"/>
                <w:szCs w:val="20"/>
                <w:color w:val="auto"/>
              </w:rPr>
            </w:pPr>
            <w:r>
              <w:rPr>
                <w:rFonts w:ascii="Arial" w:cs="Arial" w:eastAsia="Arial" w:hAnsi="Arial"/>
                <w:sz w:val="14"/>
                <w:szCs w:val="14"/>
                <w:color w:val="auto"/>
              </w:rPr>
              <w:t>- $57</w:t>
            </w:r>
          </w:p>
        </w:tc>
        <w:tc>
          <w:tcPr>
            <w:tcW w:w="1680" w:type="dxa"/>
            <w:vAlign w:val="bottom"/>
            <w:gridSpan w:val="2"/>
          </w:tcPr>
          <w:p>
            <w:pPr>
              <w:jc w:val="center"/>
              <w:ind w:left="49"/>
              <w:spacing w:after="0"/>
              <w:rPr>
                <w:sz w:val="20"/>
                <w:szCs w:val="20"/>
                <w:color w:val="auto"/>
              </w:rPr>
            </w:pPr>
            <w:r>
              <w:rPr>
                <w:rFonts w:ascii="Arial" w:cs="Arial" w:eastAsia="Arial" w:hAnsi="Arial"/>
                <w:sz w:val="14"/>
                <w:szCs w:val="14"/>
                <w:color w:val="auto"/>
              </w:rPr>
              <w:t>$3 - $5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1040" w:type="dxa"/>
            <w:vAlign w:val="bottom"/>
          </w:tcPr>
          <w:p>
            <w:pPr>
              <w:ind w:left="20"/>
              <w:spacing w:after="0"/>
              <w:rPr>
                <w:sz w:val="20"/>
                <w:szCs w:val="20"/>
                <w:color w:val="auto"/>
              </w:rPr>
            </w:pPr>
            <w:r>
              <w:rPr>
                <w:rFonts w:ascii="Arial" w:cs="Arial" w:eastAsia="Arial" w:hAnsi="Arial"/>
                <w:sz w:val="14"/>
                <w:szCs w:val="14"/>
                <w:color w:val="auto"/>
              </w:rPr>
              <w:t>- $52</w:t>
            </w:r>
          </w:p>
        </w:tc>
        <w:tc>
          <w:tcPr>
            <w:tcW w:w="0" w:type="dxa"/>
            <w:vAlign w:val="bottom"/>
          </w:tcPr>
          <w:p>
            <w:pPr>
              <w:spacing w:after="0"/>
              <w:rPr>
                <w:sz w:val="1"/>
                <w:szCs w:val="1"/>
                <w:color w:val="auto"/>
              </w:rPr>
            </w:pPr>
          </w:p>
        </w:tc>
      </w:tr>
      <w:tr>
        <w:trPr>
          <w:trHeight w:val="257"/>
        </w:trPr>
        <w:tc>
          <w:tcPr>
            <w:tcW w:w="5220" w:type="dxa"/>
            <w:vAlign w:val="bottom"/>
            <w:shd w:val="clear" w:color="auto" w:fill="DBDBDB"/>
          </w:tcPr>
          <w:p>
            <w:pPr>
              <w:spacing w:after="0"/>
              <w:rPr>
                <w:sz w:val="22"/>
                <w:szCs w:val="22"/>
                <w:color w:val="auto"/>
              </w:rPr>
            </w:pPr>
          </w:p>
        </w:tc>
        <w:tc>
          <w:tcPr>
            <w:tcW w:w="2200" w:type="dxa"/>
            <w:vAlign w:val="bottom"/>
            <w:gridSpan w:val="2"/>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2"/>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22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Margin from Marketing of Purchased Commodities ($ millions) </w:t>
            </w:r>
            <w:r>
              <w:rPr>
                <w:rFonts w:ascii="Arial" w:cs="Arial" w:eastAsia="Arial" w:hAnsi="Arial"/>
                <w:sz w:val="18"/>
                <w:szCs w:val="18"/>
                <w:color w:val="auto"/>
                <w:vertAlign w:val="superscript"/>
              </w:rPr>
              <w:t>(1)</w:t>
            </w:r>
          </w:p>
        </w:tc>
        <w:tc>
          <w:tcPr>
            <w:tcW w:w="2200" w:type="dxa"/>
            <w:vAlign w:val="bottom"/>
            <w:gridSpan w:val="2"/>
          </w:tcPr>
          <w:p>
            <w:pPr>
              <w:jc w:val="center"/>
              <w:ind w:left="589"/>
              <w:spacing w:after="0"/>
              <w:rPr>
                <w:sz w:val="20"/>
                <w:szCs w:val="20"/>
                <w:color w:val="auto"/>
              </w:rPr>
            </w:pPr>
            <w:r>
              <w:rPr>
                <w:rFonts w:ascii="Arial" w:cs="Arial" w:eastAsia="Arial" w:hAnsi="Arial"/>
                <w:sz w:val="14"/>
                <w:szCs w:val="14"/>
                <w:color w:val="auto"/>
              </w:rPr>
              <w:t>$5 - $15</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rPr>
              <w:t>$5 - $15</w:t>
            </w:r>
          </w:p>
        </w:tc>
        <w:tc>
          <w:tcPr>
            <w:tcW w:w="0" w:type="dxa"/>
            <w:vAlign w:val="bottom"/>
          </w:tcPr>
          <w:p>
            <w:pPr>
              <w:spacing w:after="0"/>
              <w:rPr>
                <w:sz w:val="1"/>
                <w:szCs w:val="1"/>
                <w:color w:val="auto"/>
              </w:rPr>
            </w:pPr>
          </w:p>
        </w:tc>
      </w:tr>
      <w:tr>
        <w:trPr>
          <w:trHeight w:val="200"/>
        </w:trPr>
        <w:tc>
          <w:tcPr>
            <w:tcW w:w="522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 xml:space="preserve">Electricity Margin ($ millions) </w:t>
            </w:r>
            <w:r>
              <w:rPr>
                <w:rFonts w:ascii="Arial" w:cs="Arial" w:eastAsia="Arial" w:hAnsi="Arial"/>
                <w:sz w:val="18"/>
                <w:szCs w:val="18"/>
                <w:color w:val="auto"/>
                <w:vertAlign w:val="superscript"/>
              </w:rPr>
              <w:t>(2)</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$42</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$42</w:t>
            </w:r>
          </w:p>
        </w:tc>
        <w:tc>
          <w:tcPr>
            <w:tcW w:w="0" w:type="dxa"/>
            <w:vAlign w:val="bottom"/>
          </w:tcPr>
          <w:p>
            <w:pPr>
              <w:spacing w:after="0"/>
              <w:rPr>
                <w:sz w:val="1"/>
                <w:szCs w:val="1"/>
                <w:color w:val="auto"/>
              </w:rPr>
            </w:pPr>
          </w:p>
        </w:tc>
      </w:tr>
      <w:tr>
        <w:trPr>
          <w:trHeight w:val="196"/>
        </w:trPr>
        <w:tc>
          <w:tcPr>
            <w:tcW w:w="5220" w:type="dxa"/>
            <w:vAlign w:val="bottom"/>
          </w:tcPr>
          <w:p>
            <w:pPr>
              <w:ind w:left="140"/>
              <w:spacing w:after="0"/>
              <w:rPr>
                <w:sz w:val="20"/>
                <w:szCs w:val="20"/>
                <w:color w:val="auto"/>
              </w:rPr>
            </w:pPr>
            <w:r>
              <w:rPr>
                <w:rFonts w:ascii="Arial" w:cs="Arial" w:eastAsia="Arial" w:hAnsi="Arial"/>
                <w:sz w:val="14"/>
                <w:szCs w:val="14"/>
                <w:color w:val="auto"/>
              </w:rPr>
              <w:t>Other Operating Revenue &amp; Expenses, net ($ millions)</w:t>
            </w:r>
          </w:p>
        </w:tc>
        <w:tc>
          <w:tcPr>
            <w:tcW w:w="1380" w:type="dxa"/>
            <w:vAlign w:val="bottom"/>
          </w:tcPr>
          <w:p>
            <w:pPr>
              <w:jc w:val="right"/>
              <w:spacing w:after="0"/>
              <w:rPr>
                <w:sz w:val="20"/>
                <w:szCs w:val="20"/>
                <w:color w:val="auto"/>
              </w:rPr>
            </w:pPr>
            <w:r>
              <w:rPr>
                <w:rFonts w:ascii="Arial" w:cs="Arial" w:eastAsia="Arial" w:hAnsi="Arial"/>
                <w:sz w:val="14"/>
                <w:szCs w:val="14"/>
                <w:color w:val="auto"/>
              </w:rPr>
              <w:t>$0</w:t>
            </w:r>
          </w:p>
        </w:tc>
        <w:tc>
          <w:tcPr>
            <w:tcW w:w="820" w:type="dxa"/>
            <w:vAlign w:val="bottom"/>
          </w:tcPr>
          <w:p>
            <w:pPr>
              <w:ind w:left="20"/>
              <w:spacing w:after="0"/>
              <w:rPr>
                <w:sz w:val="20"/>
                <w:szCs w:val="20"/>
                <w:color w:val="auto"/>
              </w:rPr>
            </w:pPr>
            <w:r>
              <w:rPr>
                <w:rFonts w:ascii="Arial" w:cs="Arial" w:eastAsia="Arial" w:hAnsi="Arial"/>
                <w:sz w:val="14"/>
                <w:szCs w:val="14"/>
                <w:color w:val="auto"/>
              </w:rPr>
              <w:t>- $5</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40" w:type="dxa"/>
            <w:vAlign w:val="bottom"/>
          </w:tcPr>
          <w:p>
            <w:pPr>
              <w:ind w:left="20"/>
              <w:spacing w:after="0"/>
              <w:rPr>
                <w:sz w:val="20"/>
                <w:szCs w:val="20"/>
                <w:color w:val="auto"/>
              </w:rPr>
            </w:pPr>
            <w:r>
              <w:rPr>
                <w:rFonts w:ascii="Arial" w:cs="Arial" w:eastAsia="Arial" w:hAnsi="Arial"/>
                <w:sz w:val="14"/>
                <w:szCs w:val="14"/>
                <w:color w:val="auto"/>
              </w:rPr>
              <w:t>- $5</w:t>
            </w:r>
          </w:p>
        </w:tc>
        <w:tc>
          <w:tcPr>
            <w:tcW w:w="0" w:type="dxa"/>
            <w:vAlign w:val="bottom"/>
          </w:tcPr>
          <w:p>
            <w:pPr>
              <w:spacing w:after="0"/>
              <w:rPr>
                <w:sz w:val="1"/>
                <w:szCs w:val="1"/>
                <w:color w:val="auto"/>
              </w:rPr>
            </w:pPr>
          </w:p>
        </w:tc>
      </w:tr>
      <w:tr>
        <w:trPr>
          <w:trHeight w:val="204"/>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Transportation Costs ($ millions)</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$17</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$17</w:t>
            </w:r>
          </w:p>
        </w:tc>
        <w:tc>
          <w:tcPr>
            <w:tcW w:w="0" w:type="dxa"/>
            <w:vAlign w:val="bottom"/>
          </w:tcPr>
          <w:p>
            <w:pPr>
              <w:spacing w:after="0"/>
              <w:rPr>
                <w:sz w:val="1"/>
                <w:szCs w:val="1"/>
                <w:color w:val="auto"/>
              </w:rPr>
            </w:pPr>
          </w:p>
        </w:tc>
      </w:tr>
      <w:tr>
        <w:trPr>
          <w:trHeight w:val="200"/>
        </w:trPr>
        <w:tc>
          <w:tcPr>
            <w:tcW w:w="522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Taxes Other Than on Income ($ millions) </w:t>
            </w:r>
            <w:r>
              <w:rPr>
                <w:rFonts w:ascii="Arial" w:cs="Arial" w:eastAsia="Arial" w:hAnsi="Arial"/>
                <w:sz w:val="18"/>
                <w:szCs w:val="18"/>
                <w:color w:val="auto"/>
                <w:vertAlign w:val="superscript"/>
              </w:rPr>
              <w:t>(3)</w:t>
            </w:r>
          </w:p>
        </w:tc>
        <w:tc>
          <w:tcPr>
            <w:tcW w:w="1380" w:type="dxa"/>
            <w:vAlign w:val="bottom"/>
          </w:tcPr>
          <w:p>
            <w:pPr>
              <w:jc w:val="right"/>
              <w:spacing w:after="0"/>
              <w:rPr>
                <w:sz w:val="20"/>
                <w:szCs w:val="20"/>
                <w:color w:val="auto"/>
              </w:rPr>
            </w:pPr>
            <w:r>
              <w:rPr>
                <w:rFonts w:ascii="Arial" w:cs="Arial" w:eastAsia="Arial" w:hAnsi="Arial"/>
                <w:sz w:val="14"/>
                <w:szCs w:val="14"/>
                <w:color w:val="auto"/>
              </w:rPr>
              <w:t>$44</w:t>
            </w:r>
          </w:p>
        </w:tc>
        <w:tc>
          <w:tcPr>
            <w:tcW w:w="820" w:type="dxa"/>
            <w:vAlign w:val="bottom"/>
          </w:tcPr>
          <w:p>
            <w:pPr>
              <w:ind w:left="20"/>
              <w:spacing w:after="0"/>
              <w:rPr>
                <w:sz w:val="20"/>
                <w:szCs w:val="20"/>
                <w:color w:val="auto"/>
              </w:rPr>
            </w:pPr>
            <w:r>
              <w:rPr>
                <w:rFonts w:ascii="Arial" w:cs="Arial" w:eastAsia="Arial" w:hAnsi="Arial"/>
                <w:sz w:val="14"/>
                <w:szCs w:val="14"/>
                <w:color w:val="auto"/>
              </w:rPr>
              <w:t>- $46</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040" w:type="dxa"/>
            <w:vAlign w:val="bottom"/>
          </w:tcPr>
          <w:p>
            <w:pPr>
              <w:ind w:left="20"/>
              <w:spacing w:after="0"/>
              <w:rPr>
                <w:sz w:val="20"/>
                <w:szCs w:val="20"/>
                <w:color w:val="auto"/>
              </w:rPr>
            </w:pPr>
            <w:r>
              <w:rPr>
                <w:rFonts w:ascii="Arial" w:cs="Arial" w:eastAsia="Arial" w:hAnsi="Arial"/>
                <w:sz w:val="14"/>
                <w:szCs w:val="14"/>
                <w:color w:val="auto"/>
              </w:rPr>
              <w:t>- $46</w:t>
            </w:r>
          </w:p>
        </w:tc>
        <w:tc>
          <w:tcPr>
            <w:tcW w:w="0" w:type="dxa"/>
            <w:vAlign w:val="bottom"/>
          </w:tcPr>
          <w:p>
            <w:pPr>
              <w:spacing w:after="0"/>
              <w:rPr>
                <w:sz w:val="1"/>
                <w:szCs w:val="1"/>
                <w:color w:val="auto"/>
              </w:rPr>
            </w:pPr>
          </w:p>
        </w:tc>
      </w:tr>
      <w:tr>
        <w:trPr>
          <w:trHeight w:val="200"/>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Interest and Debt Expense ($ millions)</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$15</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$15</w:t>
            </w:r>
          </w:p>
        </w:tc>
        <w:tc>
          <w:tcPr>
            <w:tcW w:w="0" w:type="dxa"/>
            <w:vAlign w:val="bottom"/>
          </w:tcPr>
          <w:p>
            <w:pPr>
              <w:spacing w:after="0"/>
              <w:rPr>
                <w:sz w:val="1"/>
                <w:szCs w:val="1"/>
                <w:color w:val="auto"/>
              </w:rPr>
            </w:pPr>
          </w:p>
        </w:tc>
      </w:tr>
      <w:tr>
        <w:trPr>
          <w:trHeight w:val="253"/>
        </w:trPr>
        <w:tc>
          <w:tcPr>
            <w:tcW w:w="5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Assumptions:</w:t>
            </w:r>
          </w:p>
        </w:tc>
        <w:tc>
          <w:tcPr>
            <w:tcW w:w="138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200" w:type="dxa"/>
            <w:vAlign w:val="bottom"/>
            <w:gridSpan w:val="2"/>
          </w:tcPr>
          <w:p>
            <w:pPr>
              <w:jc w:val="center"/>
              <w:ind w:left="589"/>
              <w:spacing w:after="0"/>
              <w:rPr>
                <w:sz w:val="20"/>
                <w:szCs w:val="20"/>
                <w:color w:val="auto"/>
              </w:rPr>
            </w:pPr>
            <w:r>
              <w:rPr>
                <w:rFonts w:ascii="Arial" w:cs="Arial" w:eastAsia="Arial" w:hAnsi="Arial"/>
                <w:sz w:val="14"/>
                <w:szCs w:val="14"/>
                <w:color w:val="auto"/>
                <w:w w:val="97"/>
              </w:rPr>
              <w:t>$86.17</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100" w:type="dxa"/>
            <w:vAlign w:val="bottom"/>
            <w:gridSpan w:val="3"/>
          </w:tcPr>
          <w:p>
            <w:pPr>
              <w:jc w:val="center"/>
              <w:ind w:left="29"/>
              <w:spacing w:after="0"/>
              <w:rPr>
                <w:sz w:val="20"/>
                <w:szCs w:val="20"/>
                <w:color w:val="auto"/>
              </w:rPr>
            </w:pPr>
            <w:r>
              <w:rPr>
                <w:rFonts w:ascii="Arial" w:cs="Arial" w:eastAsia="Arial" w:hAnsi="Arial"/>
                <w:sz w:val="14"/>
                <w:szCs w:val="14"/>
                <w:color w:val="auto"/>
              </w:rPr>
              <w:t>$86.17</w:t>
            </w:r>
          </w:p>
        </w:tc>
        <w:tc>
          <w:tcPr>
            <w:tcW w:w="0" w:type="dxa"/>
            <w:vAlign w:val="bottom"/>
          </w:tcPr>
          <w:p>
            <w:pPr>
              <w:spacing w:after="0"/>
              <w:rPr>
                <w:sz w:val="1"/>
                <w:szCs w:val="1"/>
                <w:color w:val="auto"/>
              </w:rPr>
            </w:pPr>
          </w:p>
        </w:tc>
      </w:tr>
      <w:tr>
        <w:trPr>
          <w:trHeight w:val="204"/>
        </w:trPr>
        <w:tc>
          <w:tcPr>
            <w:tcW w:w="5220" w:type="dxa"/>
            <w:vAlign w:val="bottom"/>
            <w:shd w:val="clear" w:color="auto" w:fill="DBDBDB"/>
          </w:tcPr>
          <w:p>
            <w:pPr>
              <w:ind w:left="260"/>
              <w:spacing w:after="0"/>
              <w:rPr>
                <w:sz w:val="20"/>
                <w:szCs w:val="20"/>
                <w:color w:val="auto"/>
              </w:rPr>
            </w:pPr>
            <w:r>
              <w:rPr>
                <w:rFonts w:ascii="Arial" w:cs="Arial" w:eastAsia="Arial" w:hAnsi="Arial"/>
                <w:sz w:val="14"/>
                <w:szCs w:val="14"/>
                <w:color w:val="auto"/>
              </w:rPr>
              <w:t>NYMEX ($/Mcf)</w:t>
            </w:r>
          </w:p>
        </w:tc>
        <w:tc>
          <w:tcPr>
            <w:tcW w:w="2200" w:type="dxa"/>
            <w:vAlign w:val="bottom"/>
            <w:gridSpan w:val="2"/>
            <w:shd w:val="clear" w:color="auto" w:fill="DBDBDB"/>
          </w:tcPr>
          <w:p>
            <w:pPr>
              <w:jc w:val="center"/>
              <w:ind w:left="589"/>
              <w:spacing w:after="0"/>
              <w:rPr>
                <w:sz w:val="20"/>
                <w:szCs w:val="20"/>
                <w:color w:val="auto"/>
              </w:rPr>
            </w:pPr>
            <w:r>
              <w:rPr>
                <w:rFonts w:ascii="Arial" w:cs="Arial" w:eastAsia="Arial" w:hAnsi="Arial"/>
                <w:sz w:val="14"/>
                <w:szCs w:val="14"/>
                <w:color w:val="auto"/>
                <w:w w:val="96"/>
              </w:rPr>
              <w:t>$1.78</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6"/>
        </w:trPr>
        <w:tc>
          <w:tcPr>
            <w:tcW w:w="522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1380" w:type="dxa"/>
            <w:vAlign w:val="bottom"/>
          </w:tcPr>
          <w:p>
            <w:pPr>
              <w:jc w:val="right"/>
              <w:spacing w:after="0"/>
              <w:rPr>
                <w:sz w:val="20"/>
                <w:szCs w:val="20"/>
                <w:color w:val="auto"/>
              </w:rPr>
            </w:pPr>
            <w:r>
              <w:rPr>
                <w:rFonts w:ascii="Arial" w:cs="Arial" w:eastAsia="Arial" w:hAnsi="Arial"/>
                <w:sz w:val="14"/>
                <w:szCs w:val="14"/>
                <w:color w:val="auto"/>
              </w:rPr>
              <w:t>97%</w:t>
            </w:r>
          </w:p>
        </w:tc>
        <w:tc>
          <w:tcPr>
            <w:tcW w:w="820" w:type="dxa"/>
            <w:vAlign w:val="bottom"/>
          </w:tcPr>
          <w:p>
            <w:pPr>
              <w:ind w:left="20"/>
              <w:spacing w:after="0"/>
              <w:rPr>
                <w:sz w:val="20"/>
                <w:szCs w:val="20"/>
                <w:color w:val="auto"/>
              </w:rPr>
            </w:pPr>
            <w:r>
              <w:rPr>
                <w:rFonts w:ascii="Arial" w:cs="Arial" w:eastAsia="Arial" w:hAnsi="Arial"/>
                <w:sz w:val="14"/>
                <w:szCs w:val="14"/>
                <w:color w:val="auto"/>
              </w:rPr>
              <w:t>- 99%</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1040" w:type="dxa"/>
            <w:vAlign w:val="bottom"/>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204"/>
        </w:trPr>
        <w:tc>
          <w:tcPr>
            <w:tcW w:w="522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2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1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0" w:type="dxa"/>
            <w:vAlign w:val="bottom"/>
          </w:tcPr>
          <w:p>
            <w:pPr>
              <w:spacing w:after="0"/>
              <w:rPr>
                <w:sz w:val="1"/>
                <w:szCs w:val="1"/>
                <w:color w:val="auto"/>
              </w:rPr>
            </w:pPr>
          </w:p>
        </w:tc>
      </w:tr>
      <w:tr>
        <w:trPr>
          <w:trHeight w:val="193"/>
        </w:trPr>
        <w:tc>
          <w:tcPr>
            <w:tcW w:w="522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1380" w:type="dxa"/>
            <w:vAlign w:val="bottom"/>
          </w:tcPr>
          <w:p>
            <w:pPr>
              <w:jc w:val="right"/>
              <w:spacing w:after="0"/>
              <w:rPr>
                <w:sz w:val="20"/>
                <w:szCs w:val="20"/>
                <w:color w:val="auto"/>
              </w:rPr>
            </w:pPr>
            <w:r>
              <w:rPr>
                <w:rFonts w:ascii="Arial" w:cs="Arial" w:eastAsia="Arial" w:hAnsi="Arial"/>
                <w:sz w:val="14"/>
                <w:szCs w:val="14"/>
                <w:color w:val="auto"/>
              </w:rPr>
              <w:t>89%</w:t>
            </w:r>
          </w:p>
        </w:tc>
        <w:tc>
          <w:tcPr>
            <w:tcW w:w="820" w:type="dxa"/>
            <w:vAlign w:val="bottom"/>
          </w:tcPr>
          <w:p>
            <w:pPr>
              <w:ind w:left="20"/>
              <w:spacing w:after="0"/>
              <w:rPr>
                <w:sz w:val="20"/>
                <w:szCs w:val="20"/>
                <w:color w:val="auto"/>
              </w:rPr>
            </w:pPr>
            <w:r>
              <w:rPr>
                <w:rFonts w:ascii="Arial" w:cs="Arial" w:eastAsia="Arial" w:hAnsi="Arial"/>
                <w:sz w:val="14"/>
                <w:szCs w:val="14"/>
                <w:color w:val="auto"/>
              </w:rPr>
              <w:t>- 93%</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1040" w:type="dxa"/>
            <w:vAlign w:val="bottom"/>
          </w:tcPr>
          <w:p>
            <w:pPr>
              <w:ind w:left="20"/>
              <w:spacing w:after="0"/>
              <w:rPr>
                <w:sz w:val="20"/>
                <w:szCs w:val="20"/>
                <w:color w:val="auto"/>
              </w:rPr>
            </w:pPr>
            <w:r>
              <w:rPr>
                <w:rFonts w:ascii="Arial" w:cs="Arial" w:eastAsia="Arial" w:hAnsi="Arial"/>
                <w:sz w:val="14"/>
                <w:szCs w:val="14"/>
                <w:color w:val="auto"/>
              </w:rPr>
              <w:t>- 93%</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right="20" w:firstLine="7"/>
        <w:spacing w:after="0" w:line="248" w:lineRule="auto"/>
        <w:tabs>
          <w:tab w:leader="none" w:pos="138" w:val="left"/>
        </w:tabs>
        <w:numPr>
          <w:ilvl w:val="0"/>
          <w:numId w:val="12"/>
        </w:numPr>
        <w:rPr>
          <w:rFonts w:ascii="Arial" w:cs="Arial" w:eastAsia="Arial" w:hAnsi="Arial"/>
          <w:sz w:val="9"/>
          <w:szCs w:val="9"/>
          <w:color w:val="auto"/>
        </w:rPr>
      </w:pPr>
      <w:r>
        <w:rPr>
          <w:rFonts w:ascii="Arial" w:cs="Arial" w:eastAsia="Arial" w:hAnsi="Arial"/>
          <w:sz w:val="14"/>
          <w:szCs w:val="14"/>
          <w:color w:val="auto"/>
        </w:rPr>
        <w:t>Margin from Marketing of Purchased Commodities is calculated as the difference between Revenue from Marketing of Purchased Commodities and Costs Related to Marketing of Purchased Commodities.</w:t>
      </w:r>
    </w:p>
    <w:p>
      <w:pPr>
        <w:spacing w:after="0" w:line="1" w:lineRule="exact"/>
        <w:rPr>
          <w:rFonts w:ascii="Arial" w:cs="Arial" w:eastAsia="Arial" w:hAnsi="Arial"/>
          <w:sz w:val="9"/>
          <w:szCs w:val="9"/>
          <w:color w:val="auto"/>
        </w:rPr>
      </w:pPr>
    </w:p>
    <w:p>
      <w:pPr>
        <w:ind w:left="140" w:hanging="133"/>
        <w:spacing w:after="0" w:line="208"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Electricity Margin is calculated as the difference between Electricity Sales and Electricity Generation Expenses.</w:t>
      </w:r>
    </w:p>
    <w:p>
      <w:pPr>
        <w:ind w:firstLine="7"/>
        <w:spacing w:after="0" w:line="222" w:lineRule="auto"/>
        <w:tabs>
          <w:tab w:leader="none" w:pos="152"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Other Operating Revenue &amp; Expenses, net is calculated as the difference between Other Revenue and Other Operating Expenses, net. Current guidance does not include estimated Aera Merger and integration expenses of $30 - $40 million dependent on the timing of close.</w:t>
      </w:r>
    </w:p>
    <w:p>
      <w:pPr>
        <w:spacing w:after="0" w:line="258" w:lineRule="auto"/>
        <w:rPr>
          <w:rFonts w:ascii="Arial" w:cs="Arial" w:eastAsia="Arial" w:hAnsi="Arial"/>
          <w:sz w:val="17"/>
          <w:szCs w:val="17"/>
          <w:color w:val="auto"/>
          <w:vertAlign w:val="superscript"/>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310515</wp:posOffset>
            </wp:positionV>
            <wp:extent cx="7091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335915</wp:posOffset>
            </wp:positionV>
            <wp:extent cx="7091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gridSpan w:val="5"/>
          </w:tcPr>
          <w:p>
            <w:pPr>
              <w:spacing w:after="0"/>
              <w:rPr>
                <w:sz w:val="20"/>
                <w:szCs w:val="20"/>
                <w:color w:val="auto"/>
              </w:rPr>
            </w:pPr>
            <w:r>
              <w:rPr>
                <w:rFonts w:ascii="Arial" w:cs="Arial" w:eastAsia="Arial" w:hAnsi="Arial"/>
                <w:sz w:val="14"/>
                <w:szCs w:val="14"/>
                <w:b w:val="1"/>
                <w:bCs w:val="1"/>
                <w:color w:val="auto"/>
              </w:rPr>
              <w:t>ESTIMATED ADJUSTED GENERAL AND ADMINISTRATIVE EXPENSES RECONCILIATION</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2Q24 Estimated</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600" w:type="dxa"/>
            <w:vAlign w:val="bottom"/>
            <w:tcBorders>
              <w:bottom w:val="single" w:sz="8" w:color="auto"/>
            </w:tcBorders>
            <w:gridSpan w:val="3"/>
            <w:shd w:val="clear" w:color="auto" w:fill="DBDBDB"/>
          </w:tcPr>
          <w:p>
            <w:pPr>
              <w:jc w:val="right"/>
              <w:ind w:right="549"/>
              <w:spacing w:after="0"/>
              <w:rPr>
                <w:sz w:val="20"/>
                <w:szCs w:val="20"/>
                <w:color w:val="auto"/>
              </w:rPr>
            </w:pPr>
            <w:r>
              <w:rPr>
                <w:rFonts w:ascii="Arial" w:cs="Arial" w:eastAsia="Arial" w:hAnsi="Arial"/>
                <w:sz w:val="14"/>
                <w:szCs w:val="14"/>
                <w:b w:val="1"/>
                <w:bCs w:val="1"/>
                <w:color w:val="auto"/>
              </w:rPr>
              <w:t>CMB</w:t>
            </w:r>
          </w:p>
        </w:tc>
        <w:tc>
          <w:tcPr>
            <w:tcW w:w="24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9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High</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r>
      <w:tr>
        <w:trPr>
          <w:trHeight w:val="197"/>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7"/>
                <w:szCs w:val="17"/>
                <w:color w:val="auto"/>
              </w:rPr>
            </w:pPr>
          </w:p>
        </w:tc>
        <w:tc>
          <w:tcPr>
            <w:tcW w:w="26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64</w:t>
            </w:r>
          </w:p>
        </w:tc>
        <w:tc>
          <w:tcPr>
            <w:tcW w:w="14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40" w:type="dxa"/>
            <w:vAlign w:val="bottom"/>
            <w:shd w:val="clear" w:color="auto" w:fill="DBDBDB"/>
          </w:tcPr>
          <w:p>
            <w:pPr>
              <w:jc w:val="right"/>
              <w:ind w:right="569"/>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r>
      <w:tr>
        <w:trPr>
          <w:trHeight w:val="196"/>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w:t>
            </w:r>
          </w:p>
        </w:tc>
      </w:tr>
      <w:tr>
        <w:trPr>
          <w:trHeight w:val="197"/>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49</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57</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gridSpan w:val="2"/>
          </w:tcPr>
          <w:p>
            <w:pPr>
              <w:jc w:val="right"/>
              <w:ind w:right="569"/>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290" w:right="339" w:bottom="1440" w:gutter="0" w:footer="0" w:header="0"/>
        </w:sectPr>
      </w:pPr>
    </w:p>
    <w:bookmarkStart w:id="18" w:name="page19"/>
    <w:bookmarkEnd w:id="18"/>
    <w:p>
      <w:pPr>
        <w:ind w:left="1032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w:t>
      </w:r>
    </w:p>
    <w:p>
      <w:pPr>
        <w:jc w:val="both"/>
        <w:ind w:left="20" w:right="20" w:firstLine="4"/>
        <w:spacing w:after="0" w:line="218" w:lineRule="auto"/>
        <w:tabs>
          <w:tab w:leader="none" w:pos="177"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adjusted EBITDAX, CMB adjusted EBITDAX, net cash provided by operating activities before changes in operating assets and liabilities, net, free cash flow, E&amp;P, Corporate &amp; Other free cash flow, CMB free cash flow, adjusted general and administrative expenses, operating costs per BOE, and adjusted total capital among others.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244475</wp:posOffset>
            </wp:positionV>
            <wp:extent cx="6338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401955</wp:posOffset>
            </wp:positionH>
            <wp:positionV relativeFrom="paragraph">
              <wp:posOffset>269875</wp:posOffset>
            </wp:positionV>
            <wp:extent cx="63385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3857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jc w:val="both"/>
        <w:ind w:left="660" w:right="66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w:t>
      </w:r>
    </w:p>
    <w:p>
      <w:pPr>
        <w:jc w:val="center"/>
        <w:spacing w:after="0" w:line="218" w:lineRule="auto"/>
        <w:rPr>
          <w:sz w:val="20"/>
          <w:szCs w:val="20"/>
          <w:color w:val="auto"/>
        </w:rPr>
      </w:pPr>
      <w:r>
        <w:rPr>
          <w:rFonts w:ascii="Arial" w:cs="Arial" w:eastAsia="Arial" w:hAnsi="Arial"/>
          <w:sz w:val="14"/>
          <w:szCs w:val="14"/>
          <w:color w:val="auto"/>
        </w:rPr>
        <w:t>even across successive reporting periods. Management believes these non-GAAP measures provide useful information to the industry and the investment</w:t>
      </w:r>
    </w:p>
    <w:p>
      <w:pPr>
        <w:ind w:left="660" w:right="660"/>
        <w:spacing w:after="0" w:line="208" w:lineRule="auto"/>
        <w:rPr>
          <w:sz w:val="20"/>
          <w:szCs w:val="20"/>
          <w:color w:val="auto"/>
        </w:rPr>
      </w:pPr>
      <w:r>
        <w:rPr>
          <w:rFonts w:ascii="Arial" w:cs="Arial" w:eastAsia="Arial" w:hAnsi="Arial"/>
          <w:sz w:val="14"/>
          <w:szCs w:val="14"/>
          <w:color w:val="auto"/>
        </w:rPr>
        <w:t>community interested in comparing CRC's financial performance between periods. Reported earnings are considered representative of management's performance over the long term. Adjusted net income (loss) is not considered to be an alternative to net income (loss) reported in accordance with GAAP. The</w:t>
      </w:r>
    </w:p>
    <w:p>
      <w:pPr>
        <w:spacing w:after="0" w:line="1" w:lineRule="exact"/>
        <w:rPr>
          <w:sz w:val="20"/>
          <w:szCs w:val="20"/>
          <w:color w:val="auto"/>
        </w:rPr>
      </w:pPr>
    </w:p>
    <w:p>
      <w:pPr>
        <w:ind w:left="660" w:right="640"/>
        <w:spacing w:after="0" w:line="239" w:lineRule="auto"/>
        <w:rPr>
          <w:sz w:val="20"/>
          <w:szCs w:val="20"/>
          <w:color w:val="auto"/>
        </w:rPr>
      </w:pPr>
      <w:r>
        <w:rPr>
          <w:rFonts w:ascii="Arial" w:cs="Arial" w:eastAsia="Arial" w:hAnsi="Arial"/>
          <w:sz w:val="14"/>
          <w:szCs w:val="14"/>
          <w:color w:val="auto"/>
        </w:rPr>
        <w:t>following table presents a reconciliation of the GAAP financial measure of net income and net income attributable to common stock per share to the non-GAAP financial measure of adjusted net income and adjusted net income per share.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6"/>
                <w:szCs w:val="16"/>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1st Quarter</w:t>
            </w:r>
          </w:p>
        </w:tc>
        <w:tc>
          <w:tcPr>
            <w:tcW w:w="820" w:type="dxa"/>
            <w:vAlign w:val="bottom"/>
          </w:tcPr>
          <w:p>
            <w:pPr>
              <w:spacing w:after="0"/>
              <w:rPr>
                <w:sz w:val="16"/>
                <w:szCs w:val="16"/>
                <w:color w:val="auto"/>
              </w:rPr>
            </w:pPr>
          </w:p>
        </w:tc>
      </w:tr>
      <w:tr>
        <w:trPr>
          <w:trHeight w:val="201"/>
        </w:trPr>
        <w:tc>
          <w:tcPr>
            <w:tcW w:w="640" w:type="dxa"/>
            <w:vAlign w:val="bottom"/>
          </w:tcPr>
          <w:p>
            <w:pPr>
              <w:spacing w:after="0"/>
              <w:rPr>
                <w:sz w:val="17"/>
                <w:szCs w:val="17"/>
                <w:color w:val="auto"/>
              </w:rPr>
            </w:pP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820" w:type="dxa"/>
            <w:vAlign w:val="bottom"/>
          </w:tcPr>
          <w:p>
            <w:pPr>
              <w:spacing w:after="0"/>
              <w:rPr>
                <w:sz w:val="17"/>
                <w:szCs w:val="17"/>
                <w:color w:val="auto"/>
              </w:rPr>
            </w:pPr>
          </w:p>
        </w:tc>
      </w:tr>
      <w:tr>
        <w:trPr>
          <w:trHeight w:val="193"/>
        </w:trPr>
        <w:tc>
          <w:tcPr>
            <w:tcW w:w="64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820" w:type="dxa"/>
            <w:vAlign w:val="bottom"/>
          </w:tcPr>
          <w:p>
            <w:pPr>
              <w:spacing w:after="0"/>
              <w:rPr>
                <w:sz w:val="16"/>
                <w:szCs w:val="16"/>
                <w:color w:val="auto"/>
              </w:rPr>
            </w:pPr>
          </w:p>
        </w:tc>
      </w:tr>
      <w:tr>
        <w:trPr>
          <w:trHeight w:val="194"/>
        </w:trPr>
        <w:tc>
          <w:tcPr>
            <w:tcW w:w="64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6"/>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Asset impairment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Aera Merger transaction fees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Aera Merger integration fees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Increased power and fuel costs due to power plant shutdown</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20" w:type="dxa"/>
            <w:vAlign w:val="bottom"/>
          </w:tcPr>
          <w:p>
            <w:pPr>
              <w:spacing w:after="0"/>
              <w:rPr>
                <w:sz w:val="17"/>
                <w:szCs w:val="17"/>
                <w:color w:val="auto"/>
              </w:rPr>
            </w:pPr>
          </w:p>
        </w:tc>
      </w:tr>
      <w:tr>
        <w:trPr>
          <w:trHeight w:val="193"/>
        </w:trPr>
        <w:tc>
          <w:tcPr>
            <w:tcW w:w="640" w:type="dxa"/>
            <w:vAlign w:val="bottom"/>
          </w:tcPr>
          <w:p>
            <w:pPr>
              <w:spacing w:after="0"/>
              <w:rPr>
                <w:sz w:val="16"/>
                <w:szCs w:val="16"/>
                <w:color w:val="auto"/>
              </w:rPr>
            </w:pPr>
          </w:p>
        </w:tc>
        <w:tc>
          <w:tcPr>
            <w:tcW w:w="608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20" w:type="dxa"/>
            <w:vAlign w:val="bottom"/>
          </w:tcPr>
          <w:p>
            <w:pPr>
              <w:spacing w:after="0"/>
              <w:rPr>
                <w:sz w:val="16"/>
                <w:szCs w:val="16"/>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Income tax (benefit) provision - out of period</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20" w:type="dxa"/>
            <w:vAlign w:val="bottom"/>
          </w:tcPr>
          <w:p>
            <w:pPr>
              <w:spacing w:after="0"/>
              <w:rPr>
                <w:sz w:val="17"/>
                <w:szCs w:val="17"/>
                <w:color w:val="auto"/>
              </w:rPr>
            </w:pPr>
          </w:p>
        </w:tc>
      </w:tr>
      <w:tr>
        <w:trPr>
          <w:trHeight w:val="55"/>
        </w:trPr>
        <w:tc>
          <w:tcPr>
            <w:tcW w:w="64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r>
      <w:tr>
        <w:trPr>
          <w:trHeight w:val="193"/>
        </w:trPr>
        <w:tc>
          <w:tcPr>
            <w:tcW w:w="64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w:t>
            </w:r>
          </w:p>
        </w:tc>
        <w:tc>
          <w:tcPr>
            <w:tcW w:w="820" w:type="dxa"/>
            <w:vAlign w:val="bottom"/>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8"/>
        </w:trPr>
        <w:tc>
          <w:tcPr>
            <w:tcW w:w="64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Net (loss)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820" w:type="dxa"/>
            <w:vAlign w:val="bottom"/>
          </w:tcPr>
          <w:p>
            <w:pPr>
              <w:spacing w:after="0"/>
              <w:rPr>
                <w:sz w:val="24"/>
                <w:szCs w:val="24"/>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Net (loss)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0.78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2.71</w:t>
            </w:r>
          </w:p>
        </w:tc>
        <w:tc>
          <w:tcPr>
            <w:tcW w:w="820" w:type="dxa"/>
            <w:vAlign w:val="bottom"/>
          </w:tcPr>
          <w:p>
            <w:pPr>
              <w:spacing w:after="0"/>
              <w:rPr>
                <w:sz w:val="17"/>
                <w:szCs w:val="17"/>
                <w:color w:val="auto"/>
              </w:rPr>
            </w:pPr>
          </w:p>
        </w:tc>
      </w:tr>
      <w:tr>
        <w:trPr>
          <w:trHeight w:val="200"/>
        </w:trPr>
        <w:tc>
          <w:tcPr>
            <w:tcW w:w="640" w:type="dxa"/>
            <w:vAlign w:val="bottom"/>
          </w:tcPr>
          <w:p>
            <w:pPr>
              <w:spacing w:after="0"/>
              <w:rPr>
                <w:sz w:val="17"/>
                <w:szCs w:val="17"/>
                <w:color w:val="auto"/>
              </w:rPr>
            </w:pPr>
          </w:p>
        </w:tc>
        <w:tc>
          <w:tcPr>
            <w:tcW w:w="608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0.75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820" w:type="dxa"/>
            <w:vAlign w:val="bottom"/>
          </w:tcPr>
          <w:p>
            <w:pPr>
              <w:spacing w:after="0"/>
              <w:rPr>
                <w:sz w:val="17"/>
                <w:szCs w:val="17"/>
                <w:color w:val="auto"/>
              </w:rPr>
            </w:pPr>
          </w:p>
        </w:tc>
      </w:tr>
      <w:tr>
        <w:trPr>
          <w:trHeight w:val="321"/>
        </w:trPr>
        <w:tc>
          <w:tcPr>
            <w:tcW w:w="6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05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571500</wp:posOffset>
            </wp:positionH>
            <wp:positionV relativeFrom="page">
              <wp:posOffset>664210</wp:posOffset>
            </wp:positionV>
            <wp:extent cx="6406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06515" cy="8255"/>
                    </a:xfrm>
                    <a:prstGeom prst="rect">
                      <a:avLst/>
                    </a:prstGeom>
                    <a:noFill/>
                  </pic:spPr>
                </pic:pic>
              </a:graphicData>
            </a:graphic>
          </wp:anchor>
        </w:drawing>
        <w:drawing>
          <wp:anchor simplePos="0" relativeHeight="251657728" behindDoc="1" locked="0" layoutInCell="0" allowOverlap="1">
            <wp:simplePos x="0" y="0"/>
            <wp:positionH relativeFrom="page">
              <wp:posOffset>571500</wp:posOffset>
            </wp:positionH>
            <wp:positionV relativeFrom="page">
              <wp:posOffset>689610</wp:posOffset>
            </wp:positionV>
            <wp:extent cx="6406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06515" cy="8255"/>
                    </a:xfrm>
                    <a:prstGeom prst="rect">
                      <a:avLst/>
                    </a:prstGeom>
                    <a:noFill/>
                  </pic:spPr>
                </pic:pic>
              </a:graphicData>
            </a:graphic>
          </wp:anchor>
        </w:drawing>
        <w:t>ADJUSTED EBITDAX</w:t>
      </w:r>
    </w:p>
    <w:p>
      <w:pPr>
        <w:spacing w:after="0" w:line="132" w:lineRule="exact"/>
        <w:rPr>
          <w:sz w:val="20"/>
          <w:szCs w:val="20"/>
          <w:color w:val="auto"/>
        </w:rPr>
      </w:pPr>
    </w:p>
    <w:p>
      <w:pPr>
        <w:jc w:val="both"/>
        <w:ind w:left="20"/>
        <w:spacing w:after="0" w:line="244"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10" w:lineRule="exact"/>
        <w:rPr>
          <w:sz w:val="20"/>
          <w:szCs w:val="20"/>
          <w:color w:val="auto"/>
        </w:rPr>
      </w:pPr>
    </w:p>
    <w:p>
      <w:pPr>
        <w:jc w:val="both"/>
        <w:ind w:left="20"/>
        <w:spacing w:after="0" w:line="238"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w:t>
      </w:r>
    </w:p>
    <w:p>
      <w:pPr>
        <w:spacing w:after="0" w:line="1" w:lineRule="exact"/>
        <w:rPr>
          <w:sz w:val="20"/>
          <w:szCs w:val="20"/>
          <w:color w:val="auto"/>
        </w:rPr>
      </w:pPr>
    </w:p>
    <w:p>
      <w:pPr>
        <w:jc w:val="both"/>
        <w:ind w:left="20"/>
        <w:spacing w:after="0" w:line="248" w:lineRule="auto"/>
        <w:rPr>
          <w:sz w:val="20"/>
          <w:szCs w:val="20"/>
          <w:color w:val="auto"/>
        </w:rPr>
      </w:pPr>
      <w:r>
        <w:rPr>
          <w:rFonts w:ascii="Arial" w:cs="Arial" w:eastAsia="Arial" w:hAnsi="Arial"/>
          <w:sz w:val="14"/>
          <w:szCs w:val="14"/>
          <w:color w:val="auto"/>
        </w:rPr>
        <w:t>exploration and production and corporate items (Adjusted EBITDAX for E&amp;P, Corporate &amp; Other) which management believes is a useful measure for investors to understand the results of the core oil and gas business. CRC defines adjusted EBITDAX for E&amp;P, Corporate &amp; Other as consolidated adjusted EBITDAX less results attributable to its carbon management business (CMB).</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r>
      <w:tr>
        <w:trPr>
          <w:trHeight w:val="193"/>
        </w:trPr>
        <w:tc>
          <w:tcPr>
            <w:tcW w:w="55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2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301</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Income tax (benefit) provision</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67"/>
        </w:trPr>
        <w:tc>
          <w:tcPr>
            <w:tcW w:w="558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38"/>
        </w:trPr>
        <w:tc>
          <w:tcPr>
            <w:tcW w:w="5580" w:type="dxa"/>
            <w:vAlign w:val="bottom"/>
          </w:tcPr>
          <w:p>
            <w:pPr>
              <w:ind w:left="140"/>
              <w:spacing w:after="0" w:line="239"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r>
      <w:tr>
        <w:trPr>
          <w:trHeight w:val="189"/>
        </w:trPr>
        <w:tc>
          <w:tcPr>
            <w:tcW w:w="558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558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0"/>
        </w:trPr>
        <w:tc>
          <w:tcPr>
            <w:tcW w:w="55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1"/>
        </w:trPr>
        <w:tc>
          <w:tcPr>
            <w:tcW w:w="558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8"/>
        </w:trPr>
        <w:tc>
          <w:tcPr>
            <w:tcW w:w="55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310</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558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1"/>
        </w:trPr>
        <w:tc>
          <w:tcPr>
            <w:tcW w:w="5580" w:type="dxa"/>
            <w:vAlign w:val="bottom"/>
          </w:tcPr>
          <w:p>
            <w:pPr>
              <w:ind w:left="140"/>
              <w:spacing w:after="0"/>
              <w:rPr>
                <w:sz w:val="20"/>
                <w:szCs w:val="20"/>
                <w:color w:val="auto"/>
              </w:rPr>
            </w:pPr>
            <w:r>
              <w:rPr>
                <w:rFonts w:ascii="Arial" w:cs="Arial" w:eastAsia="Arial" w:hAnsi="Arial"/>
                <w:sz w:val="14"/>
                <w:szCs w:val="14"/>
                <w:color w:val="auto"/>
              </w:rPr>
              <w:t>Adjustments to changes in operating assets and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r>
      <w:tr>
        <w:trPr>
          <w:trHeight w:val="194"/>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2"/>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2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367</w:t>
            </w:r>
          </w:p>
        </w:tc>
      </w:tr>
      <w:tr>
        <w:trPr>
          <w:trHeight w:val="200"/>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307"/>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21.47</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23.57</w:t>
            </w:r>
          </w:p>
        </w:tc>
        <w:tc>
          <w:tcPr>
            <w:tcW w:w="2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44.55</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0060"/>
          </w:cols>
          <w:pgMar w:left="900" w:top="1103" w:right="9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630555</wp:posOffset>
            </wp:positionH>
            <wp:positionV relativeFrom="page">
              <wp:posOffset>664210</wp:posOffset>
            </wp:positionV>
            <wp:extent cx="6296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6025" cy="8255"/>
                    </a:xfrm>
                    <a:prstGeom prst="rect">
                      <a:avLst/>
                    </a:prstGeom>
                    <a:noFill/>
                  </pic:spPr>
                </pic:pic>
              </a:graphicData>
            </a:graphic>
          </wp:anchor>
        </w:drawing>
        <w:drawing>
          <wp:anchor simplePos="0" relativeHeight="251657728" behindDoc="1" locked="0" layoutInCell="0" allowOverlap="1">
            <wp:simplePos x="0" y="0"/>
            <wp:positionH relativeFrom="page">
              <wp:posOffset>630555</wp:posOffset>
            </wp:positionH>
            <wp:positionV relativeFrom="page">
              <wp:posOffset>689610</wp:posOffset>
            </wp:positionV>
            <wp:extent cx="6296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6025" cy="8255"/>
                    </a:xfrm>
                    <a:prstGeom prst="rect">
                      <a:avLst/>
                    </a:prstGeom>
                    <a:noFill/>
                  </pic:spPr>
                </pic:pic>
              </a:graphicData>
            </a:graphic>
          </wp:anchor>
        </w:drawing>
        <w:t>FREE CASH FLOW AND SUPPLEMENTAL CASH FLOW MEASURES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-2540</wp:posOffset>
            </wp:positionV>
            <wp:extent cx="185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420" cy="8255"/>
                    </a:xfrm>
                    <a:prstGeom prst="rect">
                      <a:avLst/>
                    </a:prstGeom>
                    <a:noFill/>
                  </pic:spPr>
                </pic:pic>
              </a:graphicData>
            </a:graphic>
          </wp:anchor>
        </w:drawing>
      </w:r>
    </w:p>
    <w:p>
      <w:pPr>
        <w:jc w:val="both"/>
        <w:spacing w:after="0" w:line="208" w:lineRule="auto"/>
        <w:rPr>
          <w:sz w:val="20"/>
          <w:szCs w:val="20"/>
          <w:color w:val="auto"/>
        </w:rPr>
      </w:pPr>
      <w:r>
        <w:rPr>
          <w:rFonts w:ascii="Arial" w:cs="Arial" w:eastAsia="Arial" w:hAnsi="Arial"/>
          <w:sz w:val="14"/>
          <w:szCs w:val="14"/>
          <w:color w:val="auto"/>
        </w:rPr>
        <w:t>The following table presents a reconciliation of CRC's net cash provided by operating activities to free cash flow. CRC supplemented its non-GAAP measure of free cash flow with (i) net cash provided by operating activities before changes in operating assets and liabilities, net, (ii) adjusted free cash flow, and (iii)</w:t>
      </w:r>
    </w:p>
    <w:p>
      <w:pPr>
        <w:spacing w:after="0" w:line="219" w:lineRule="auto"/>
        <w:rPr>
          <w:sz w:val="20"/>
          <w:szCs w:val="20"/>
          <w:color w:val="auto"/>
        </w:rPr>
      </w:pPr>
      <w:r>
        <w:rPr>
          <w:rFonts w:ascii="Arial" w:cs="Arial" w:eastAsia="Arial" w:hAnsi="Arial"/>
          <w:sz w:val="14"/>
          <w:szCs w:val="14"/>
          <w:color w:val="auto"/>
        </w:rPr>
        <w:t>free cash flow of exploration and production, and corporate and other items (Free Cash Flow for E&amp;P, Corporate &amp; Other), which it believes is a useful</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4"/>
          <w:szCs w:val="14"/>
          <w:color w:val="auto"/>
        </w:rPr>
        <w:t>measure for investors to understand the results of CRC's core oil and gas business. CRC defines Free Cash Flow for E&amp;P, Corporate &amp; Other as consolidated free cash flow less results attributable to its carbon management business (CMB). CRC defines adjusted free cash flow as net cash provided by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 less adjusted capital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1st Quarter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080" w:type="dxa"/>
            <w:vAlign w:val="bottom"/>
          </w:tcPr>
          <w:p>
            <w:pPr>
              <w:jc w:val="right"/>
              <w:ind w:right="189"/>
              <w:spacing w:after="0"/>
              <w:rPr>
                <w:sz w:val="20"/>
                <w:szCs w:val="20"/>
                <w:color w:val="auto"/>
              </w:rPr>
            </w:pPr>
            <w:r>
              <w:rPr>
                <w:rFonts w:ascii="Arial" w:cs="Arial" w:eastAsia="Arial" w:hAnsi="Arial"/>
                <w:sz w:val="14"/>
                <w:szCs w:val="14"/>
                <w:b w:val="1"/>
                <w:bCs w:val="1"/>
                <w:color w:val="auto"/>
              </w:rPr>
              <w:t>1st Quarter</w:t>
            </w:r>
          </w:p>
        </w:tc>
        <w:tc>
          <w:tcPr>
            <w:tcW w:w="0" w:type="dxa"/>
            <w:vAlign w:val="bottom"/>
          </w:tcPr>
          <w:p>
            <w:pPr>
              <w:spacing w:after="0"/>
              <w:rPr>
                <w:sz w:val="1"/>
                <w:szCs w:val="1"/>
                <w:color w:val="auto"/>
              </w:rPr>
            </w:pPr>
          </w:p>
        </w:tc>
      </w:tr>
      <w:tr>
        <w:trPr>
          <w:trHeight w:val="201"/>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w:t>
            </w:r>
          </w:p>
        </w:tc>
        <w:tc>
          <w:tcPr>
            <w:tcW w:w="10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r>
              <w:rPr>
                <w:rFonts w:ascii="Arial" w:cs="Arial" w:eastAsia="Arial" w:hAnsi="Arial"/>
                <w:sz w:val="14"/>
                <w:szCs w:val="14"/>
                <w:color w:val="auto"/>
              </w:rPr>
              <w:t>Net cash provided by operating activities before changes in operating assets and</w:t>
            </w:r>
          </w:p>
        </w:tc>
        <w:tc>
          <w:tcPr>
            <w:tcW w:w="1020" w:type="dxa"/>
            <w:vAlign w:val="bottom"/>
            <w:vMerge w:val="restart"/>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20"/>
                <w:szCs w:val="20"/>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tcPr>
          <w:p>
            <w:pPr>
              <w:spacing w:after="0"/>
              <w:rPr>
                <w:sz w:val="20"/>
                <w:szCs w:val="20"/>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316</w:t>
            </w:r>
          </w:p>
        </w:tc>
        <w:tc>
          <w:tcPr>
            <w:tcW w:w="0" w:type="dxa"/>
            <w:vAlign w:val="bottom"/>
          </w:tcPr>
          <w:p>
            <w:pPr>
              <w:spacing w:after="0"/>
              <w:rPr>
                <w:sz w:val="1"/>
                <w:szCs w:val="1"/>
                <w:color w:val="auto"/>
              </w:rPr>
            </w:pPr>
          </w:p>
        </w:tc>
      </w:tr>
      <w:tr>
        <w:trPr>
          <w:trHeight w:val="187"/>
        </w:trPr>
        <w:tc>
          <w:tcPr>
            <w:tcW w:w="5480" w:type="dxa"/>
            <w:vAlign w:val="bottom"/>
          </w:tcPr>
          <w:p>
            <w:pPr>
              <w:spacing w:after="0"/>
              <w:rPr>
                <w:sz w:val="20"/>
                <w:szCs w:val="20"/>
                <w:color w:val="auto"/>
              </w:rPr>
            </w:pPr>
            <w:r>
              <w:rPr>
                <w:rFonts w:ascii="Arial" w:cs="Arial" w:eastAsia="Arial" w:hAnsi="Arial"/>
                <w:sz w:val="14"/>
                <w:szCs w:val="14"/>
                <w:color w:val="auto"/>
              </w:rPr>
              <w:t>liabilities, net</w:t>
            </w:r>
          </w:p>
        </w:tc>
        <w:tc>
          <w:tcPr>
            <w:tcW w:w="10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80" w:type="dxa"/>
            <w:vAlign w:val="bottom"/>
          </w:tcPr>
          <w:p>
            <w:pPr>
              <w:spacing w:after="0"/>
              <w:rPr>
                <w:sz w:val="20"/>
                <w:szCs w:val="20"/>
                <w:color w:val="auto"/>
              </w:rPr>
            </w:pPr>
            <w:r>
              <w:rPr>
                <w:rFonts w:ascii="Arial" w:cs="Arial" w:eastAsia="Arial" w:hAnsi="Arial"/>
                <w:sz w:val="14"/>
                <w:szCs w:val="14"/>
                <w:color w:val="auto"/>
              </w:rPr>
              <w:t>Changes in operating assets and liabilities, net</w:t>
            </w: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3"/>
        </w:trPr>
        <w:tc>
          <w:tcPr>
            <w:tcW w:w="54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0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310</w:t>
            </w:r>
          </w:p>
        </w:tc>
        <w:tc>
          <w:tcPr>
            <w:tcW w:w="0" w:type="dxa"/>
            <w:vAlign w:val="bottom"/>
          </w:tcPr>
          <w:p>
            <w:pPr>
              <w:spacing w:after="0"/>
              <w:rPr>
                <w:sz w:val="1"/>
                <w:szCs w:val="1"/>
                <w:color w:val="auto"/>
              </w:rPr>
            </w:pPr>
          </w:p>
        </w:tc>
      </w:tr>
      <w:tr>
        <w:trPr>
          <w:trHeight w:val="201"/>
        </w:trPr>
        <w:tc>
          <w:tcPr>
            <w:tcW w:w="5480" w:type="dxa"/>
            <w:vAlign w:val="bottom"/>
          </w:tcPr>
          <w:p>
            <w:pPr>
              <w:spacing w:after="0"/>
              <w:rPr>
                <w:sz w:val="20"/>
                <w:szCs w:val="20"/>
                <w:color w:val="auto"/>
              </w:rPr>
            </w:pPr>
            <w:r>
              <w:rPr>
                <w:rFonts w:ascii="Arial" w:cs="Arial" w:eastAsia="Arial" w:hAnsi="Arial"/>
                <w:sz w:val="14"/>
                <w:szCs w:val="14"/>
                <w:color w:val="auto"/>
              </w:rPr>
              <w:t>Capital investments</w:t>
            </w: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(54)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4"/>
                <w:szCs w:val="14"/>
                <w:color w:val="auto"/>
              </w:rPr>
              <w:t>Free cash flow</w:t>
            </w:r>
          </w:p>
        </w:tc>
        <w:tc>
          <w:tcPr>
            <w:tcW w:w="10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4"/>
                <w:szCs w:val="14"/>
                <w:color w:val="auto"/>
              </w:rPr>
              <w:t>E&amp;P, Corporate and Other</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200"/>
        </w:trPr>
        <w:tc>
          <w:tcPr>
            <w:tcW w:w="5480" w:type="dxa"/>
            <w:vAlign w:val="bottom"/>
          </w:tcPr>
          <w:p>
            <w:pPr>
              <w:spacing w:after="0"/>
              <w:rPr>
                <w:sz w:val="20"/>
                <w:szCs w:val="20"/>
                <w:color w:val="auto"/>
              </w:rPr>
            </w:pPr>
            <w:r>
              <w:rPr>
                <w:rFonts w:ascii="Arial" w:cs="Arial" w:eastAsia="Arial" w:hAnsi="Arial"/>
                <w:sz w:val="14"/>
                <w:szCs w:val="14"/>
                <w:color w:val="auto"/>
              </w:rPr>
              <w:t>CMB</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6"/>
              </w:rPr>
              <w:t>(17)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460"/>
        </w:trPr>
        <w:tc>
          <w:tcPr>
            <w:tcW w:w="5480" w:type="dxa"/>
            <w:vAlign w:val="bottom"/>
          </w:tcPr>
          <w:p>
            <w:pPr>
              <w:spacing w:after="0"/>
              <w:rPr>
                <w:sz w:val="20"/>
                <w:szCs w:val="20"/>
                <w:color w:val="auto"/>
              </w:rPr>
            </w:pPr>
            <w:r>
              <w:rPr>
                <w:rFonts w:ascii="Arial" w:cs="Arial" w:eastAsia="Arial" w:hAnsi="Arial"/>
                <w:sz w:val="14"/>
                <w:szCs w:val="14"/>
                <w:color w:val="auto"/>
              </w:rPr>
              <w:t>Adjustments to capital investments: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480" w:type="dxa"/>
            <w:vAlign w:val="bottom"/>
          </w:tcPr>
          <w:p>
            <w:pPr>
              <w:ind w:left="120"/>
              <w:spacing w:after="0"/>
              <w:rPr>
                <w:sz w:val="20"/>
                <w:szCs w:val="20"/>
                <w:color w:val="auto"/>
              </w:rPr>
            </w:pPr>
            <w:r>
              <w:rPr>
                <w:rFonts w:ascii="Arial" w:cs="Arial" w:eastAsia="Arial" w:hAnsi="Arial"/>
                <w:sz w:val="14"/>
                <w:szCs w:val="14"/>
                <w:color w:val="auto"/>
              </w:rPr>
              <w:t>Replacement water facilities</w:t>
            </w:r>
            <w:r>
              <w:rPr>
                <w:rFonts w:ascii="Arial" w:cs="Arial" w:eastAsia="Arial" w:hAnsi="Arial"/>
                <w:sz w:val="18"/>
                <w:szCs w:val="18"/>
                <w:color w:val="auto"/>
                <w:vertAlign w:val="superscript"/>
              </w:rPr>
              <w:t>(1)</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20"/>
                <w:szCs w:val="20"/>
                <w:color w:val="auto"/>
              </w:rPr>
            </w:pPr>
            <w:r>
              <w:rPr>
                <w:rFonts w:ascii="Arial" w:cs="Arial" w:eastAsia="Arial" w:hAnsi="Arial"/>
                <w:sz w:val="14"/>
                <w:szCs w:val="14"/>
                <w:b w:val="1"/>
                <w:bCs w:val="1"/>
                <w:color w:val="auto"/>
              </w:rPr>
              <w:t>Adjusted capital investments:</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80" w:type="dxa"/>
            <w:vAlign w:val="bottom"/>
          </w:tcPr>
          <w:p>
            <w:pPr>
              <w:ind w:left="120"/>
              <w:spacing w:after="0"/>
              <w:rPr>
                <w:sz w:val="20"/>
                <w:szCs w:val="20"/>
                <w:color w:val="auto"/>
              </w:rPr>
            </w:pPr>
            <w:r>
              <w:rPr>
                <w:rFonts w:ascii="Arial" w:cs="Arial" w:eastAsia="Arial" w:hAnsi="Arial"/>
                <w:sz w:val="14"/>
                <w:szCs w:val="14"/>
                <w:color w:val="auto"/>
              </w:rPr>
              <w:t>E&amp;P, Corporate and Other</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00"/>
        </w:trPr>
        <w:tc>
          <w:tcPr>
            <w:tcW w:w="5480" w:type="dxa"/>
            <w:vAlign w:val="bottom"/>
          </w:tcPr>
          <w:p>
            <w:pPr>
              <w:ind w:left="120"/>
              <w:spacing w:after="0"/>
              <w:rPr>
                <w:sz w:val="20"/>
                <w:szCs w:val="20"/>
                <w:color w:val="auto"/>
              </w:rPr>
            </w:pPr>
            <w:r>
              <w:rPr>
                <w:rFonts w:ascii="Arial" w:cs="Arial" w:eastAsia="Arial" w:hAnsi="Arial"/>
                <w:sz w:val="14"/>
                <w:szCs w:val="14"/>
                <w:color w:val="auto"/>
              </w:rPr>
              <w:t>CMB</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466"/>
        </w:trPr>
        <w:tc>
          <w:tcPr>
            <w:tcW w:w="5480" w:type="dxa"/>
            <w:vAlign w:val="bottom"/>
          </w:tcPr>
          <w:p>
            <w:pPr>
              <w:spacing w:after="0"/>
              <w:rPr>
                <w:sz w:val="20"/>
                <w:szCs w:val="20"/>
                <w:color w:val="auto"/>
              </w:rPr>
            </w:pPr>
            <w:r>
              <w:rPr>
                <w:rFonts w:ascii="Arial" w:cs="Arial" w:eastAsia="Arial" w:hAnsi="Arial"/>
                <w:sz w:val="14"/>
                <w:szCs w:val="14"/>
                <w:b w:val="1"/>
                <w:bCs w:val="1"/>
                <w:color w:val="auto"/>
              </w:rPr>
              <w:t>Adjusted free cash flow:</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Arial" w:cs="Arial" w:eastAsia="Arial" w:hAnsi="Arial"/>
                <w:sz w:val="14"/>
                <w:szCs w:val="14"/>
                <w:color w:val="auto"/>
              </w:rPr>
              <w:t>E&amp;P, Corporate and Other</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22"/>
                <w:szCs w:val="22"/>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271</w:t>
            </w:r>
          </w:p>
        </w:tc>
        <w:tc>
          <w:tcPr>
            <w:tcW w:w="0" w:type="dxa"/>
            <w:vAlign w:val="bottom"/>
          </w:tcPr>
          <w:p>
            <w:pPr>
              <w:spacing w:after="0"/>
              <w:rPr>
                <w:sz w:val="1"/>
                <w:szCs w:val="1"/>
                <w:color w:val="auto"/>
              </w:rPr>
            </w:pPr>
          </w:p>
        </w:tc>
      </w:tr>
      <w:tr>
        <w:trPr>
          <w:trHeight w:val="200"/>
        </w:trPr>
        <w:tc>
          <w:tcPr>
            <w:tcW w:w="5480" w:type="dxa"/>
            <w:vAlign w:val="bottom"/>
          </w:tcPr>
          <w:p>
            <w:pPr>
              <w:spacing w:after="0"/>
              <w:rPr>
                <w:sz w:val="20"/>
                <w:szCs w:val="20"/>
                <w:color w:val="auto"/>
              </w:rPr>
            </w:pPr>
            <w:r>
              <w:rPr>
                <w:rFonts w:ascii="Arial" w:cs="Arial" w:eastAsia="Arial" w:hAnsi="Arial"/>
                <w:sz w:val="14"/>
                <w:szCs w:val="14"/>
                <w:color w:val="auto"/>
              </w:rPr>
              <w:t>CMB</w:t>
            </w: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6"/>
              </w:rPr>
              <w:t>(17)</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4"/>
        <w:spacing w:after="0" w:line="215" w:lineRule="auto"/>
        <w:tabs>
          <w:tab w:leader="none" w:pos="139"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Facilities capital includes $0, $1 million and $1 million in the first quarter of 2024 and fourth and first quarter of 2023,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9880"/>
          </w:cols>
          <w:pgMar w:left="1000" w:top="1103" w:right="101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520700</wp:posOffset>
            </wp:positionH>
            <wp:positionV relativeFrom="page">
              <wp:posOffset>664210</wp:posOffset>
            </wp:positionV>
            <wp:extent cx="6516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6370" cy="8255"/>
                    </a:xfrm>
                    <a:prstGeom prst="rect">
                      <a:avLst/>
                    </a:prstGeom>
                    <a:noFill/>
                  </pic:spPr>
                </pic:pic>
              </a:graphicData>
            </a:graphic>
          </wp:anchor>
        </w:drawing>
        <w:drawing>
          <wp:anchor simplePos="0" relativeHeight="251657728" behindDoc="1" locked="0" layoutInCell="0" allowOverlap="1">
            <wp:simplePos x="0" y="0"/>
            <wp:positionH relativeFrom="page">
              <wp:posOffset>520700</wp:posOffset>
            </wp:positionH>
            <wp:positionV relativeFrom="page">
              <wp:posOffset>689610</wp:posOffset>
            </wp:positionV>
            <wp:extent cx="6516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6370"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jc w:val="both"/>
        <w:ind w:left="20"/>
        <w:spacing w:after="0" w:line="246"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CRC's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r>
      <w:tr>
        <w:trPr>
          <w:trHeight w:val="193"/>
        </w:trPr>
        <w:tc>
          <w:tcPr>
            <w:tcW w:w="60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040" w:type="dxa"/>
            <w:vAlign w:val="bottom"/>
          </w:tcPr>
          <w:p>
            <w:pPr>
              <w:jc w:val="right"/>
              <w:ind w:right="86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6"/>
                <w:szCs w:val="16"/>
                <w:color w:val="auto"/>
              </w:rPr>
            </w:pP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jc w:val="right"/>
              <w:ind w:right="9"/>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00"/>
        </w:trPr>
        <w:tc>
          <w:tcPr>
            <w:tcW w:w="60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0"/>
        </w:trPr>
        <w:tc>
          <w:tcPr>
            <w:tcW w:w="6020" w:type="dxa"/>
            <w:vAlign w:val="bottom"/>
          </w:tcPr>
          <w:p>
            <w:pPr>
              <w:ind w:left="20"/>
              <w:spacing w:after="0"/>
              <w:rPr>
                <w:sz w:val="20"/>
                <w:szCs w:val="20"/>
                <w:color w:val="auto"/>
              </w:rPr>
            </w:pPr>
            <w:r>
              <w:rPr>
                <w:rFonts w:ascii="Arial" w:cs="Arial" w:eastAsia="Arial" w:hAnsi="Arial"/>
                <w:sz w:val="14"/>
                <w:szCs w:val="14"/>
                <w:color w:val="auto"/>
              </w:rPr>
              <w:t>Information technology infrastructure</w:t>
            </w:r>
          </w:p>
        </w:tc>
        <w:tc>
          <w:tcPr>
            <w:tcW w:w="10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1"/>
        </w:trPr>
        <w:tc>
          <w:tcPr>
            <w:tcW w:w="6020" w:type="dxa"/>
            <w:vAlign w:val="bottom"/>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4"/>
        </w:trPr>
        <w:tc>
          <w:tcPr>
            <w:tcW w:w="602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04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78"/>
        </w:trPr>
        <w:tc>
          <w:tcPr>
            <w:tcW w:w="602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040" w:type="dxa"/>
            <w:vAlign w:val="bottom"/>
          </w:tcPr>
          <w:p>
            <w:pPr>
              <w:jc w:val="right"/>
              <w:ind w:right="86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4"/>
                <w:szCs w:val="24"/>
                <w:color w:val="auto"/>
              </w:rPr>
            </w:pP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jc w:val="right"/>
              <w:ind w:right="9"/>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200"/>
        </w:trPr>
        <w:tc>
          <w:tcPr>
            <w:tcW w:w="602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040" w:type="dxa"/>
            <w:vAlign w:val="bottom"/>
          </w:tcPr>
          <w:p>
            <w:pPr>
              <w:jc w:val="right"/>
              <w:ind w:right="86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020" w:type="dxa"/>
            <w:vAlign w:val="bottom"/>
          </w:tcPr>
          <w:p>
            <w:pPr>
              <w:jc w:val="right"/>
              <w:ind w:right="869"/>
              <w:spacing w:after="0"/>
              <w:rPr>
                <w:sz w:val="20"/>
                <w:szCs w:val="20"/>
                <w:color w:val="auto"/>
              </w:rPr>
            </w:pPr>
            <w:r>
              <w:rPr>
                <w:rFonts w:ascii="Arial" w:cs="Arial" w:eastAsia="Arial" w:hAnsi="Arial"/>
                <w:sz w:val="14"/>
                <w:szCs w:val="14"/>
                <w:b w:val="1"/>
                <w:bCs w:val="1"/>
                <w:color w:val="auto"/>
                <w:w w:val="76"/>
              </w:rPr>
              <w:t>$</w:t>
            </w:r>
          </w:p>
        </w:tc>
        <w:tc>
          <w:tcPr>
            <w:tcW w:w="2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65163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6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6516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2" w:lineRule="exact"/>
        <w:rPr>
          <w:sz w:val="20"/>
          <w:szCs w:val="20"/>
          <w:color w:val="auto"/>
        </w:rPr>
      </w:pPr>
    </w:p>
    <w:p>
      <w:pPr>
        <w:ind w:left="20"/>
        <w:spacing w:after="0" w:line="259"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r>
      <w:tr>
        <w:trPr>
          <w:trHeight w:val="196"/>
        </w:trPr>
        <w:tc>
          <w:tcPr>
            <w:tcW w:w="6020" w:type="dxa"/>
            <w:vAlign w:val="bottom"/>
          </w:tcPr>
          <w:p>
            <w:pPr>
              <w:ind w:left="20"/>
              <w:spacing w:after="0" w:line="195"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8.07</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8.65</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15.56</w:t>
            </w:r>
          </w:p>
        </w:tc>
      </w:tr>
      <w:tr>
        <w:trPr>
          <w:trHeight w:val="202"/>
        </w:trPr>
        <w:tc>
          <w:tcPr>
            <w:tcW w:w="60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0.60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0.62</w:t>
            </w:r>
          </w:p>
        </w:tc>
      </w:tr>
      <w:tr>
        <w:trPr>
          <w:trHeight w:val="195"/>
        </w:trPr>
        <w:tc>
          <w:tcPr>
            <w:tcW w:w="6020" w:type="dxa"/>
            <w:vAlign w:val="bottom"/>
          </w:tcPr>
          <w:p>
            <w:pPr>
              <w:ind w:left="20"/>
              <w:spacing w:after="0"/>
              <w:rPr>
                <w:sz w:val="20"/>
                <w:szCs w:val="20"/>
                <w:color w:val="auto"/>
              </w:rPr>
            </w:pPr>
            <w:r>
              <w:rPr>
                <w:rFonts w:ascii="Arial" w:cs="Arial" w:eastAsia="Arial" w:hAnsi="Arial"/>
                <w:sz w:val="14"/>
                <w:szCs w:val="14"/>
                <w:color w:val="auto"/>
              </w:rPr>
              <w:t>Non-energy operating costs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15.43</w:t>
            </w:r>
          </w:p>
        </w:tc>
      </w:tr>
      <w:tr>
        <w:trPr>
          <w:trHeight w:val="193"/>
        </w:trPr>
        <w:tc>
          <w:tcPr>
            <w:tcW w:w="6020" w:type="dxa"/>
            <w:vAlign w:val="bottom"/>
          </w:tcPr>
          <w:p>
            <w:pPr>
              <w:ind w:left="120"/>
              <w:spacing w:after="0"/>
              <w:rPr>
                <w:sz w:val="20"/>
                <w:szCs w:val="20"/>
                <w:color w:val="auto"/>
              </w:rPr>
            </w:pPr>
            <w:r>
              <w:rPr>
                <w:rFonts w:ascii="Arial" w:cs="Arial" w:eastAsia="Arial" w:hAnsi="Arial"/>
                <w:sz w:val="14"/>
                <w:szCs w:val="14"/>
                <w:b w:val="1"/>
                <w:bCs w:val="1"/>
                <w:color w:val="auto"/>
              </w:rPr>
              <w:t>Operating costs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24.49</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31.61</w:t>
            </w:r>
          </w:p>
        </w:tc>
      </w:tr>
      <w:tr>
        <w:trPr>
          <w:trHeight w:val="387"/>
        </w:trPr>
        <w:tc>
          <w:tcPr>
            <w:tcW w:w="602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6020" w:type="dxa"/>
            <w:vAlign w:val="bottom"/>
          </w:tcPr>
          <w:p>
            <w:pPr>
              <w:ind w:left="120"/>
              <w:spacing w:after="0"/>
              <w:rPr>
                <w:sz w:val="20"/>
                <w:szCs w:val="20"/>
                <w:color w:val="auto"/>
              </w:rPr>
            </w:pPr>
            <w:r>
              <w:rPr>
                <w:rFonts w:ascii="Arial" w:cs="Arial" w:eastAsia="Arial" w:hAnsi="Arial"/>
                <w:sz w:val="14"/>
                <w:szCs w:val="14"/>
                <w:color w:val="auto"/>
              </w:rPr>
              <w:t>Excess energy operating costs attributable to PSCs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(0.99)</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w:t>
            </w:r>
          </w:p>
        </w:tc>
      </w:tr>
      <w:tr>
        <w:trPr>
          <w:trHeight w:val="200"/>
        </w:trPr>
        <w:tc>
          <w:tcPr>
            <w:tcW w:w="6020" w:type="dxa"/>
            <w:vAlign w:val="bottom"/>
          </w:tcPr>
          <w:p>
            <w:pPr>
              <w:ind w:left="120"/>
              <w:spacing w:after="0"/>
              <w:rPr>
                <w:sz w:val="20"/>
                <w:szCs w:val="20"/>
                <w:color w:val="auto"/>
              </w:rPr>
            </w:pPr>
            <w:r>
              <w:rPr>
                <w:rFonts w:ascii="Arial" w:cs="Arial" w:eastAsia="Arial" w:hAnsi="Arial"/>
                <w:sz w:val="14"/>
                <w:szCs w:val="14"/>
                <w:color w:val="auto"/>
              </w:rPr>
              <w:t>Excess non-energy operating costs attributable to PSCs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r>
      <w:tr>
        <w:trPr>
          <w:trHeight w:val="193"/>
        </w:trPr>
        <w:tc>
          <w:tcPr>
            <w:tcW w:w="6020" w:type="dxa"/>
            <w:vAlign w:val="bottom"/>
          </w:tcPr>
          <w:p>
            <w:pPr>
              <w:ind w:left="240"/>
              <w:spacing w:after="0"/>
              <w:rPr>
                <w:sz w:val="20"/>
                <w:szCs w:val="20"/>
                <w:color w:val="auto"/>
              </w:rPr>
            </w:pPr>
            <w:r>
              <w:rPr>
                <w:rFonts w:ascii="Arial" w:cs="Arial" w:eastAsia="Arial" w:hAnsi="Arial"/>
                <w:sz w:val="14"/>
                <w:szCs w:val="14"/>
                <w:b w:val="1"/>
                <w:bCs w:val="1"/>
                <w:color w:val="auto"/>
              </w:rPr>
              <w:t>Excess costs attributable to PSCs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w:t>
            </w:r>
          </w:p>
        </w:tc>
      </w:tr>
      <w:tr>
        <w:trPr>
          <w:trHeight w:val="396"/>
        </w:trPr>
        <w:tc>
          <w:tcPr>
            <w:tcW w:w="602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7.08</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7.64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14.37</w:t>
            </w:r>
          </w:p>
        </w:tc>
      </w:tr>
      <w:tr>
        <w:trPr>
          <w:trHeight w:val="202"/>
        </w:trPr>
        <w:tc>
          <w:tcPr>
            <w:tcW w:w="60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0.60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0.62</w:t>
            </w:r>
          </w:p>
        </w:tc>
      </w:tr>
      <w:tr>
        <w:trPr>
          <w:trHeight w:val="195"/>
        </w:trPr>
        <w:tc>
          <w:tcPr>
            <w:tcW w:w="6020" w:type="dxa"/>
            <w:vAlign w:val="bottom"/>
          </w:tcPr>
          <w:p>
            <w:pPr>
              <w:ind w:left="140"/>
              <w:spacing w:after="0"/>
              <w:rPr>
                <w:sz w:val="20"/>
                <w:szCs w:val="20"/>
                <w:color w:val="auto"/>
              </w:rPr>
            </w:pPr>
            <w:r>
              <w:rPr>
                <w:rFonts w:ascii="Arial" w:cs="Arial" w:eastAsia="Arial" w:hAnsi="Arial"/>
                <w:sz w:val="14"/>
                <w:szCs w:val="14"/>
                <w:color w:val="auto"/>
              </w:rPr>
              <w:t>Non-energy operating costs, excluding effect of PSCs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13.92</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14.39</w:t>
            </w:r>
          </w:p>
        </w:tc>
      </w:tr>
      <w:tr>
        <w:trPr>
          <w:trHeight w:val="194"/>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23.26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22.16</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29.38</w:t>
            </w: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hanging="9"/>
        <w:spacing w:after="0" w:line="212" w:lineRule="auto"/>
        <w:tabs>
          <w:tab w:leader="none" w:pos="153"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14" w:lineRule="exact"/>
        <w:rPr>
          <w:rFonts w:ascii="Arial" w:cs="Arial" w:eastAsia="Arial" w:hAnsi="Arial"/>
          <w:sz w:val="16"/>
          <w:szCs w:val="16"/>
          <w:color w:val="auto"/>
          <w:vertAlign w:val="superscript"/>
        </w:rPr>
      </w:pPr>
    </w:p>
    <w:p>
      <w:pPr>
        <w:ind w:left="140" w:hanging="129"/>
        <w:spacing w:after="0"/>
        <w:tabs>
          <w:tab w:leader="none" w:pos="14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Gas processing costs include costs associated with compression, maintenance and other activities needed to run CRC's gas processing facilities at Elk Hills.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0240"/>
          </w:cols>
          <w:pgMar w:left="820" w:top="1103" w:right="839" w:bottom="1440" w:gutter="0" w:footer="0" w:header="0"/>
        </w:sectPr>
      </w:pPr>
    </w:p>
    <w:bookmarkStart w:id="22" w:name="page23"/>
    <w:bookmarkEnd w:id="22"/>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2"/>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0"/>
        </w:trPr>
        <w:tc>
          <w:tcPr>
            <w:tcW w:w="556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1st Quarter</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4th Quarter</w:t>
            </w: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360" w:type="dxa"/>
            <w:vAlign w:val="bottom"/>
          </w:tcPr>
          <w:p>
            <w:pPr>
              <w:spacing w:after="0"/>
              <w:rPr>
                <w:sz w:val="17"/>
                <w:szCs w:val="17"/>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360" w:type="dxa"/>
            <w:vAlign w:val="bottom"/>
          </w:tcPr>
          <w:p>
            <w:pPr>
              <w:spacing w:after="0"/>
              <w:rPr>
                <w:sz w:val="17"/>
                <w:szCs w:val="17"/>
                <w:color w:val="auto"/>
              </w:rPr>
            </w:pPr>
          </w:p>
        </w:tc>
      </w:tr>
      <w:tr>
        <w:trPr>
          <w:trHeight w:val="193"/>
        </w:trPr>
        <w:tc>
          <w:tcPr>
            <w:tcW w:w="5560" w:type="dxa"/>
            <w:vAlign w:val="bottom"/>
          </w:tcPr>
          <w:p>
            <w:pPr>
              <w:ind w:left="6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360" w:type="dxa"/>
            <w:vAlign w:val="bottom"/>
          </w:tcPr>
          <w:p>
            <w:pPr>
              <w:spacing w:after="0"/>
              <w:rPr>
                <w:sz w:val="16"/>
                <w:szCs w:val="16"/>
                <w:color w:val="auto"/>
              </w:rPr>
            </w:pPr>
          </w:p>
        </w:tc>
      </w:tr>
      <w:tr>
        <w:trPr>
          <w:trHeight w:val="360"/>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360" w:type="dxa"/>
            <w:vAlign w:val="bottom"/>
          </w:tcPr>
          <w:p>
            <w:pPr>
              <w:spacing w:after="0"/>
              <w:rPr>
                <w:sz w:val="17"/>
                <w:szCs w:val="17"/>
                <w:color w:val="auto"/>
              </w:rPr>
            </w:pPr>
          </w:p>
        </w:tc>
      </w:tr>
      <w:tr>
        <w:trPr>
          <w:trHeight w:val="193"/>
        </w:trPr>
        <w:tc>
          <w:tcPr>
            <w:tcW w:w="5560" w:type="dxa"/>
            <w:vAlign w:val="bottom"/>
          </w:tcPr>
          <w:p>
            <w:pPr>
              <w:ind w:left="6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360" w:type="dxa"/>
            <w:vAlign w:val="bottom"/>
          </w:tcPr>
          <w:p>
            <w:pPr>
              <w:spacing w:after="0"/>
              <w:rPr>
                <w:sz w:val="16"/>
                <w:szCs w:val="16"/>
                <w:color w:val="auto"/>
              </w:rPr>
            </w:pPr>
          </w:p>
        </w:tc>
      </w:tr>
      <w:tr>
        <w:trPr>
          <w:trHeight w:val="360"/>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360" w:type="dxa"/>
            <w:vAlign w:val="bottom"/>
          </w:tcPr>
          <w:p>
            <w:pPr>
              <w:spacing w:after="0"/>
              <w:rPr>
                <w:sz w:val="17"/>
                <w:szCs w:val="17"/>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7"/>
                <w:szCs w:val="17"/>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360" w:type="dxa"/>
            <w:vAlign w:val="bottom"/>
          </w:tcPr>
          <w:p>
            <w:pPr>
              <w:spacing w:after="0"/>
              <w:rPr>
                <w:sz w:val="17"/>
                <w:szCs w:val="17"/>
                <w:color w:val="auto"/>
              </w:rPr>
            </w:pPr>
          </w:p>
        </w:tc>
      </w:tr>
      <w:tr>
        <w:trPr>
          <w:trHeight w:val="193"/>
        </w:trPr>
        <w:tc>
          <w:tcPr>
            <w:tcW w:w="5560" w:type="dxa"/>
            <w:vAlign w:val="bottom"/>
          </w:tcPr>
          <w:p>
            <w:pPr>
              <w:ind w:left="6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360" w:type="dxa"/>
            <w:vAlign w:val="bottom"/>
          </w:tcPr>
          <w:p>
            <w:pPr>
              <w:spacing w:after="0"/>
              <w:rPr>
                <w:sz w:val="16"/>
                <w:szCs w:val="16"/>
                <w:color w:val="auto"/>
              </w:rPr>
            </w:pPr>
          </w:p>
        </w:tc>
      </w:tr>
      <w:tr>
        <w:trPr>
          <w:trHeight w:val="161"/>
        </w:trPr>
        <w:tc>
          <w:tcPr>
            <w:tcW w:w="55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360" w:type="dxa"/>
            <w:vAlign w:val="bottom"/>
          </w:tcPr>
          <w:p>
            <w:pPr>
              <w:spacing w:after="0"/>
              <w:rPr>
                <w:sz w:val="16"/>
                <w:szCs w:val="16"/>
                <w:color w:val="auto"/>
              </w:rPr>
            </w:pPr>
          </w:p>
        </w:tc>
      </w:tr>
      <w:tr>
        <w:trPr>
          <w:trHeight w:val="20"/>
        </w:trPr>
        <w:tc>
          <w:tcPr>
            <w:tcW w:w="5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738"/>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1st Quarter</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4th Quarter</w:t>
            </w: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360" w:type="dxa"/>
            <w:vAlign w:val="bottom"/>
          </w:tcPr>
          <w:p>
            <w:pPr>
              <w:spacing w:after="0"/>
              <w:rPr>
                <w:sz w:val="17"/>
                <w:szCs w:val="17"/>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360" w:type="dxa"/>
            <w:vAlign w:val="bottom"/>
          </w:tcPr>
          <w:p>
            <w:pPr>
              <w:spacing w:after="0"/>
              <w:rPr>
                <w:sz w:val="17"/>
                <w:szCs w:val="17"/>
                <w:color w:val="auto"/>
              </w:rPr>
            </w:pPr>
          </w:p>
        </w:tc>
      </w:tr>
      <w:tr>
        <w:trPr>
          <w:trHeight w:val="193"/>
        </w:trPr>
        <w:tc>
          <w:tcPr>
            <w:tcW w:w="5560" w:type="dxa"/>
            <w:vAlign w:val="bottom"/>
          </w:tcPr>
          <w:p>
            <w:pPr>
              <w:ind w:left="6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360" w:type="dxa"/>
            <w:vAlign w:val="bottom"/>
          </w:tcPr>
          <w:p>
            <w:pPr>
              <w:spacing w:after="0"/>
              <w:rPr>
                <w:sz w:val="16"/>
                <w:szCs w:val="16"/>
                <w:color w:val="auto"/>
              </w:rPr>
            </w:pPr>
          </w:p>
        </w:tc>
      </w:tr>
      <w:tr>
        <w:trPr>
          <w:trHeight w:val="360"/>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360" w:type="dxa"/>
            <w:vAlign w:val="bottom"/>
          </w:tcPr>
          <w:p>
            <w:pPr>
              <w:spacing w:after="0"/>
              <w:rPr>
                <w:sz w:val="17"/>
                <w:szCs w:val="17"/>
                <w:color w:val="auto"/>
              </w:rPr>
            </w:pPr>
          </w:p>
        </w:tc>
      </w:tr>
      <w:tr>
        <w:trPr>
          <w:trHeight w:val="193"/>
        </w:trPr>
        <w:tc>
          <w:tcPr>
            <w:tcW w:w="5560" w:type="dxa"/>
            <w:vAlign w:val="bottom"/>
          </w:tcPr>
          <w:p>
            <w:pPr>
              <w:ind w:left="6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60" w:type="dxa"/>
            <w:vAlign w:val="bottom"/>
          </w:tcPr>
          <w:p>
            <w:pPr>
              <w:spacing w:after="0"/>
              <w:rPr>
                <w:sz w:val="16"/>
                <w:szCs w:val="16"/>
                <w:color w:val="auto"/>
              </w:rPr>
            </w:pPr>
          </w:p>
        </w:tc>
      </w:tr>
      <w:tr>
        <w:trPr>
          <w:trHeight w:val="360"/>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360" w:type="dxa"/>
            <w:vAlign w:val="bottom"/>
          </w:tcPr>
          <w:p>
            <w:pPr>
              <w:spacing w:after="0"/>
              <w:rPr>
                <w:sz w:val="17"/>
                <w:szCs w:val="17"/>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360" w:type="dxa"/>
            <w:vAlign w:val="bottom"/>
          </w:tcPr>
          <w:p>
            <w:pPr>
              <w:spacing w:after="0"/>
              <w:rPr>
                <w:sz w:val="17"/>
                <w:szCs w:val="17"/>
                <w:color w:val="auto"/>
              </w:rPr>
            </w:pPr>
          </w:p>
        </w:tc>
      </w:tr>
      <w:tr>
        <w:trPr>
          <w:trHeight w:val="200"/>
        </w:trPr>
        <w:tc>
          <w:tcPr>
            <w:tcW w:w="556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360" w:type="dxa"/>
            <w:vAlign w:val="bottom"/>
          </w:tcPr>
          <w:p>
            <w:pPr>
              <w:spacing w:after="0"/>
              <w:rPr>
                <w:sz w:val="17"/>
                <w:szCs w:val="17"/>
                <w:color w:val="auto"/>
              </w:rPr>
            </w:pPr>
          </w:p>
        </w:tc>
      </w:tr>
      <w:tr>
        <w:trPr>
          <w:trHeight w:val="193"/>
        </w:trPr>
        <w:tc>
          <w:tcPr>
            <w:tcW w:w="5560" w:type="dxa"/>
            <w:vAlign w:val="bottom"/>
          </w:tcPr>
          <w:p>
            <w:pPr>
              <w:ind w:left="6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360" w:type="dxa"/>
            <w:vAlign w:val="bottom"/>
          </w:tcPr>
          <w:p>
            <w:pPr>
              <w:spacing w:after="0"/>
              <w:rPr>
                <w:sz w:val="16"/>
                <w:szCs w:val="16"/>
                <w:color w:val="auto"/>
              </w:rPr>
            </w:pPr>
          </w:p>
        </w:tc>
      </w:tr>
      <w:tr>
        <w:trPr>
          <w:trHeight w:val="161"/>
        </w:trPr>
        <w:tc>
          <w:tcPr>
            <w:tcW w:w="55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9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360" w:type="dxa"/>
            <w:vAlign w:val="bottom"/>
          </w:tcPr>
          <w:p>
            <w:pPr>
              <w:spacing w:after="0"/>
              <w:rPr>
                <w:sz w:val="16"/>
                <w:szCs w:val="16"/>
                <w:color w:val="auto"/>
              </w:rPr>
            </w:pPr>
          </w:p>
        </w:tc>
      </w:tr>
      <w:tr>
        <w:trPr>
          <w:trHeight w:val="20"/>
        </w:trPr>
        <w:tc>
          <w:tcPr>
            <w:tcW w:w="5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120"/>
          </w:cols>
          <w:pgMar w:left="880" w:top="1440" w:right="8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5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7"/>
                <w:szCs w:val="17"/>
                <w:color w:val="auto"/>
              </w:rPr>
            </w:pPr>
          </w:p>
        </w:tc>
        <w:tc>
          <w:tcPr>
            <w:tcW w:w="1320" w:type="dxa"/>
            <w:vAlign w:val="bottom"/>
          </w:tcPr>
          <w:p>
            <w:pPr>
              <w:jc w:val="right"/>
              <w:ind w:right="329"/>
              <w:spacing w:after="0"/>
              <w:rPr>
                <w:sz w:val="20"/>
                <w:szCs w:val="20"/>
                <w:color w:val="auto"/>
              </w:rPr>
            </w:pPr>
            <w:r>
              <w:rPr>
                <w:rFonts w:ascii="Arial" w:cs="Arial" w:eastAsia="Arial" w:hAnsi="Arial"/>
                <w:sz w:val="14"/>
                <w:szCs w:val="14"/>
                <w:b w:val="1"/>
                <w:bCs w:val="1"/>
                <w:color w:val="auto"/>
              </w:rPr>
              <w:t>1st Quarter</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77.17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71.34</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63.04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80.16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82.00</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78.68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4"/>
                <w:szCs w:val="14"/>
                <w:color w:val="auto"/>
              </w:rPr>
              <w:t>NGLs ($/Bbl)</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50.50</w:t>
            </w:r>
          </w:p>
        </w:tc>
        <w:tc>
          <w:tcPr>
            <w:tcW w:w="10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49.08</w:t>
            </w:r>
          </w:p>
        </w:tc>
        <w:tc>
          <w:tcPr>
            <w:tcW w:w="2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58.88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24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4.66</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21.56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4.66</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21.56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81.84</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82.69</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82.22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76.96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78.32</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76.13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2.88</w:t>
            </w:r>
          </w:p>
        </w:tc>
        <w:tc>
          <w:tcPr>
            <w:tcW w:w="2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3.42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91 %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62 %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24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 NYMEX contract month</w:t>
            </w:r>
          </w:p>
        </w:tc>
        <w:tc>
          <w:tcPr>
            <w:tcW w:w="2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630 %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 of NYMEX contract</w:t>
            </w:r>
          </w:p>
        </w:tc>
        <w:tc>
          <w:tcPr>
            <w:tcW w:w="2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630 %</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4"/>
                <w:szCs w:val="14"/>
                <w:color w:val="auto"/>
              </w:rPr>
              <w:t>month average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0440"/>
          </w:cols>
          <w:pgMar w:left="720" w:top="1050" w:right="739" w:bottom="1440" w:gutter="0" w:footer="0" w:header="0"/>
        </w:sectPr>
      </w:pPr>
    </w:p>
    <w:bookmarkStart w:id="24" w:name="page25"/>
    <w:bookmarkEnd w:id="24"/>
    <w:tbl>
      <w:tblPr>
        <w:tblLayout w:type="fixed"/>
        <w:tblInd w:w="40" w:type="dxa"/>
        <w:tblCellMar>
          <w:top w:w="0" w:type="dxa"/>
          <w:left w:w="0" w:type="dxa"/>
          <w:bottom w:w="0" w:type="dxa"/>
          <w:right w:w="0" w:type="dxa"/>
        </w:tblCellMar>
      </w:tblPr>
      <w:tr>
        <w:trPr>
          <w:trHeight w:val="195"/>
        </w:trPr>
        <w:tc>
          <w:tcPr>
            <w:tcW w:w="4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6</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FIRST QUARTER 2024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w:t>
            </w: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w:t>
            </w:r>
          </w:p>
        </w:tc>
      </w:tr>
      <w:tr>
        <w:trPr>
          <w:trHeight w:val="20"/>
        </w:trPr>
        <w:tc>
          <w:tcPr>
            <w:tcW w:w="4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200" w:hanging="149"/>
        <w:spacing w:after="0"/>
        <w:tabs>
          <w:tab w:leader="none" w:pos="20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54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MARCH 31, 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14"/>
        </w:trPr>
        <w:tc>
          <w:tcPr>
            <w:tcW w:w="5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2024</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2024</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2024</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1H 2025</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2H 2025</w:t>
            </w:r>
          </w:p>
        </w:tc>
      </w:tr>
      <w:tr>
        <w:trPr>
          <w:trHeight w:val="432"/>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30,000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28,000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27,500</w:t>
            </w:r>
          </w:p>
        </w:tc>
      </w:tr>
      <w:tr>
        <w:trPr>
          <w:trHeight w:val="20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$90.07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$90.07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$90.07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$86.88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$86.90</w:t>
            </w:r>
          </w:p>
        </w:tc>
      </w:tr>
      <w:tr>
        <w:trPr>
          <w:trHeight w:val="45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8,875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8,875</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3,500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3,250</w:t>
            </w:r>
          </w:p>
        </w:tc>
      </w:tr>
      <w:tr>
        <w:trPr>
          <w:trHeight w:val="20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$79.28</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$80.10</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$77.45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$72.81</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$72.50</w:t>
            </w:r>
          </w:p>
        </w:tc>
      </w:tr>
      <w:tr>
        <w:trPr>
          <w:trHeight w:val="459"/>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30,000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28,000</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27,500</w:t>
            </w:r>
          </w:p>
        </w:tc>
      </w:tr>
      <w:tr>
        <w:trPr>
          <w:trHeight w:val="20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$65.17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7"/>
              </w:rPr>
              <w:t>$61.43</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sectPr>
      <w:pgSz w:w="11900" w:h="16838" w:orient="portrait"/>
      <w:cols w:equalWidth="0" w:num="1">
        <w:col w:w="11240"/>
      </w:cols>
      <w:pgMar w:left="320" w:top="10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amp;"/>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2024-05-07T16:03:03Z</dcterms:created>
  <dcterms:modified xsi:type="dcterms:W3CDTF">2024-05-07T16:03:03Z</dcterms:modified>
</cp:coreProperties>
</file>