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437515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1"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4, 2024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6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9"/>
          <w:szCs w:val="19"/>
          <w:b w:val="1"/>
          <w:bCs w:val="1"/>
          <w:color w:val="auto"/>
        </w:rPr>
        <w:t>California Resources Corporation</w:t>
      </w:r>
    </w:p>
    <w:p>
      <w:pPr>
        <w:spacing w:after="0" w:line="3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989" w:right="399" w:bottom="1440" w:gutter="0" w:footer="0" w:header="0"/>
        </w:sectPr>
      </w:pPr>
    </w:p>
    <w:p>
      <w:pPr>
        <w:spacing w:after="0" w:line="77"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19"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2"/>
          <w:szCs w:val="12"/>
          <w:color w:val="auto"/>
        </w:rPr>
        <w:t>(State or Other Jurisdiction of</w:t>
      </w:r>
    </w:p>
    <w:p>
      <w:pPr>
        <w:ind w:left="152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001-36478</w:t>
      </w:r>
    </w:p>
    <w:p>
      <w:pPr>
        <w:spacing w:after="0" w:line="2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(Commission</w:t>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46-5670947</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73" w:lineRule="exact"/>
        <w:rPr>
          <w:sz w:val="24"/>
          <w:szCs w:val="24"/>
          <w:color w:val="auto"/>
        </w:rPr>
      </w:pPr>
    </w:p>
    <w:p>
      <w:pPr>
        <w:sectPr>
          <w:pgSz w:w="11900" w:h="16838" w:orient="portrait"/>
          <w:cols w:equalWidth="0" w:num="3">
            <w:col w:w="4588" w:space="720"/>
            <w:col w:w="2940" w:space="720"/>
            <w:col w:w="2240"/>
          </w:cols>
          <w:pgMar w:left="292" w:top="989" w:right="399" w:bottom="1440" w:gutter="0" w:footer="0" w:header="0"/>
          <w:type w:val="continuous"/>
        </w:sectPr>
      </w:pPr>
    </w:p>
    <w:p>
      <w:pPr>
        <w:jc w:val="center"/>
        <w:ind w:right="5572"/>
        <w:spacing w:after="0"/>
        <w:rPr>
          <w:sz w:val="20"/>
          <w:szCs w:val="20"/>
          <w:color w:val="auto"/>
        </w:rPr>
      </w:pPr>
      <w:r>
        <w:rPr>
          <w:rFonts w:ascii="Times New Roman" w:cs="Times New Roman" w:eastAsia="Times New Roman" w:hAnsi="Times New Roman"/>
          <w:sz w:val="11"/>
          <w:szCs w:val="11"/>
          <w:b w:val="1"/>
          <w:bCs w:val="1"/>
          <w:color w:val="auto"/>
        </w:rPr>
        <w:t>1 World Trade Center</w:t>
      </w:r>
    </w:p>
    <w:p>
      <w:pPr>
        <w:spacing w:after="0" w:line="32"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Suite 1500</w:t>
      </w:r>
    </w:p>
    <w:p>
      <w:pPr>
        <w:spacing w:after="0" w:line="15"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Long Beach</w:t>
      </w:r>
    </w:p>
    <w:p>
      <w:pPr>
        <w:sectPr>
          <w:pgSz w:w="11900" w:h="16838" w:orient="portrait"/>
          <w:cols w:equalWidth="0" w:num="1">
            <w:col w:w="11208"/>
          </w:cols>
          <w:pgMar w:left="292" w:top="989" w:right="399" w:bottom="1440" w:gutter="0" w:footer="0" w:header="0"/>
          <w:type w:val="continuous"/>
        </w:sectPr>
      </w:pPr>
    </w:p>
    <w:p>
      <w:pPr>
        <w:spacing w:after="0" w:line="15" w:lineRule="exact"/>
        <w:rPr>
          <w:sz w:val="24"/>
          <w:szCs w:val="24"/>
          <w:color w:val="auto"/>
        </w:rPr>
      </w:pPr>
    </w:p>
    <w:p>
      <w:pPr>
        <w:ind w:left="2548"/>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90831</w:t>
      </w:r>
    </w:p>
    <w:p>
      <w:pPr>
        <w:spacing w:after="0" w:line="15" w:lineRule="exact"/>
        <w:rPr>
          <w:sz w:val="24"/>
          <w:szCs w:val="24"/>
          <w:color w:val="auto"/>
        </w:rPr>
      </w:pPr>
    </w:p>
    <w:p>
      <w:pPr>
        <w:sectPr>
          <w:pgSz w:w="11900" w:h="16838" w:orient="portrait"/>
          <w:cols w:equalWidth="0" w:num="2">
            <w:col w:w="7588" w:space="720"/>
            <w:col w:w="2900"/>
          </w:cols>
          <w:pgMar w:left="292" w:top="989" w:right="399" w:bottom="1440" w:gutter="0" w:footer="0" w:header="0"/>
          <w:type w:val="continuous"/>
        </w:sectPr>
      </w:pPr>
    </w:p>
    <w:p>
      <w:pPr>
        <w:ind w:left="184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08" w:lineRule="exact"/>
        <w:rPr>
          <w:sz w:val="24"/>
          <w:szCs w:val="24"/>
          <w:color w:val="auto"/>
        </w:rPr>
      </w:pPr>
    </w:p>
    <w:p>
      <w:pPr>
        <w:sectPr>
          <w:pgSz w:w="11900" w:h="16838" w:orient="portrait"/>
          <w:cols w:equalWidth="0" w:num="2">
            <w:col w:w="7468" w:space="720"/>
            <w:col w:w="3020"/>
          </w:cols>
          <w:pgMar w:left="292" w:top="989" w:right="399" w:bottom="1440" w:gutter="0" w:footer="0" w:header="0"/>
          <w:type w:val="continuous"/>
        </w:sect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(888) 848-4754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11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3" w:lineRule="exact"/>
        <w:rPr>
          <w:sz w:val="24"/>
          <w:szCs w:val="24"/>
          <w:color w:val="auto"/>
        </w:rPr>
      </w:pPr>
    </w:p>
    <w:p>
      <w:pPr>
        <w:ind w:left="1328" w:right="1200" w:hanging="74"/>
        <w:spacing w:after="0" w:line="271" w:lineRule="auto"/>
        <w:rPr>
          <w:sz w:val="20"/>
          <w:szCs w:val="20"/>
          <w:color w:val="auto"/>
        </w:rPr>
      </w:pPr>
      <w:r>
        <w:rPr>
          <w:rFonts w:ascii="Times New Roman" w:cs="Times New Roman" w:eastAsia="Times New Roman" w:hAnsi="Times New Roman"/>
          <w:sz w:val="12"/>
          <w:szCs w:val="12"/>
          <w:b w:val="1"/>
          <w:bCs w:val="1"/>
          <w:color w:val="auto"/>
        </w:rPr>
        <w:t>Title of each class</w:t>
      </w:r>
      <w:r>
        <w:rPr>
          <w:sz w:val="20"/>
          <w:szCs w:val="20"/>
          <w:color w:val="auto"/>
        </w:rPr>
        <w:t xml:space="preserve"> </w:t>
      </w:r>
      <w:r>
        <w:rPr>
          <w:rFonts w:ascii="Times New Roman" w:cs="Times New Roman" w:eastAsia="Times New Roman" w:hAnsi="Times New Roman"/>
          <w:sz w:val="12"/>
          <w:szCs w:val="12"/>
          <w:b w:val="1"/>
          <w:bCs w:val="1"/>
          <w:color w:val="auto"/>
        </w:rPr>
        <w:t xml:space="preserve">Trading Symbol(s) Name of each exchange on which registered </w:t>
      </w:r>
      <w:r>
        <w:rPr>
          <w:rFonts w:ascii="Times New Roman" w:cs="Times New Roman" w:eastAsia="Times New Roman" w:hAnsi="Times New Roman"/>
          <w:sz w:val="12"/>
          <w:szCs w:val="12"/>
          <w:color w:val="auto"/>
        </w:rPr>
        <w:t>Common Stock CRC New York Stock Exchange</w:t>
      </w:r>
    </w:p>
    <w:p>
      <w:pPr>
        <w:spacing w:after="0" w:line="250" w:lineRule="exact"/>
        <w:rPr>
          <w:sz w:val="24"/>
          <w:szCs w:val="24"/>
          <w:color w:val="auto"/>
        </w:rPr>
      </w:pPr>
    </w:p>
    <w:p>
      <w:pPr>
        <w:ind w:left="8" w:right="24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left="8"/>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509270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89" w:right="399" w:bottom="1440" w:gutter="0" w:footer="0" w:header="0"/>
          <w:type w:val="continuous"/>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On January 4, 2024, California Resources Corporation (the “Company”) posted an updated investor presentation on its website at www.crc.com. The presentation includes updated fourth quarter and year-end 2023 guidance for certain estimated operating and financial results. Copies of the slides with updated guidance are furnished as Exhibit 99.1 to this report on Form 8-K and are incorporated herein by reference.</w:t>
      </w:r>
    </w:p>
    <w:p>
      <w:pPr>
        <w:spacing w:after="0" w:line="111"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11" w:lineRule="exact"/>
        <w:rPr>
          <w:sz w:val="20"/>
          <w:szCs w:val="20"/>
          <w:color w:val="auto"/>
        </w:rPr>
      </w:pPr>
    </w:p>
    <w:p>
      <w:pPr>
        <w:jc w:val="both"/>
        <w:ind w:left="8" w:right="500"/>
        <w:spacing w:after="0" w:line="265" w:lineRule="auto"/>
        <w:rPr>
          <w:sz w:val="20"/>
          <w:szCs w:val="20"/>
          <w:color w:val="auto"/>
        </w:rPr>
      </w:pPr>
      <w:r>
        <w:rPr>
          <w:rFonts w:ascii="Times New Roman" w:cs="Times New Roman" w:eastAsia="Times New Roman" w:hAnsi="Times New Roman"/>
          <w:sz w:val="12"/>
          <w:szCs w:val="12"/>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9"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5" w:lineRule="exact"/>
        <w:rPr>
          <w:sz w:val="20"/>
          <w:szCs w:val="20"/>
          <w:color w:val="auto"/>
        </w:rPr>
      </w:pPr>
    </w:p>
    <w:p>
      <w:pPr>
        <w:ind w:left="268" w:hanging="268"/>
        <w:spacing w:after="0"/>
        <w:tabs>
          <w:tab w:leader="none" w:pos="2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73" w:lineRule="exact"/>
        <w:rPr>
          <w:sz w:val="20"/>
          <w:szCs w:val="20"/>
          <w:color w:val="auto"/>
        </w:rPr>
      </w:pPr>
    </w:p>
    <w:tbl>
      <w:tblPr>
        <w:tblLayout w:type="fixed"/>
        <w:tblInd w:w="168" w:type="dxa"/>
        <w:tblCellMar>
          <w:top w:w="0" w:type="dxa"/>
          <w:left w:w="0" w:type="dxa"/>
          <w:bottom w:w="0" w:type="dxa"/>
          <w:right w:w="0" w:type="dxa"/>
        </w:tblCellMar>
      </w:tblPr>
      <w:tr>
        <w:trPr>
          <w:trHeight w:val="168"/>
        </w:trPr>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180" w:type="dxa"/>
            <w:vAlign w:val="bottom"/>
          </w:tcPr>
          <w:p>
            <w:pPr>
              <w:ind w:left="14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1940" w:type="dxa"/>
            <w:vAlign w:val="bottom"/>
            <w:tcBorders>
              <w:top w:val="single" w:sz="8" w:color="auto"/>
            </w:tcBorders>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40" w:type="dxa"/>
            <w:vAlign w:val="bottom"/>
            <w:tcBorders>
              <w:top w:val="single" w:sz="8" w:color="auto"/>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9"/>
              </w:rPr>
              <w:t>Excerpts from Investor Presentation dated January 4, 2024.</w:t>
            </w:r>
          </w:p>
        </w:tc>
        <w:tc>
          <w:tcPr>
            <w:tcW w:w="6180" w:type="dxa"/>
            <w:vAlign w:val="bottom"/>
            <w:tcBorders>
              <w:top w:val="single" w:sz="8" w:color="auto"/>
            </w:tcBorders>
          </w:tcPr>
          <w:p>
            <w:pPr>
              <w:spacing w:after="0"/>
              <w:rPr>
                <w:sz w:val="11"/>
                <w:szCs w:val="11"/>
                <w:color w:val="auto"/>
              </w:rPr>
            </w:pPr>
          </w:p>
        </w:tc>
      </w:tr>
    </w:tbl>
    <w:p>
      <w:pPr>
        <w:spacing w:after="0" w:line="43" w:lineRule="exact"/>
        <w:rPr>
          <w:sz w:val="20"/>
          <w:szCs w:val="20"/>
          <w:color w:val="auto"/>
        </w:rPr>
      </w:pPr>
    </w:p>
    <w:p>
      <w:pPr>
        <w:ind w:left="2348" w:hanging="1298"/>
        <w:spacing w:after="0"/>
        <w:tabs>
          <w:tab w:leader="none" w:pos="234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7" w:lineRule="exact"/>
        <w:rPr>
          <w:rFonts w:ascii="Times New Roman" w:cs="Times New Roman" w:eastAsia="Times New Roman" w:hAnsi="Times New Roman"/>
          <w:sz w:val="12"/>
          <w:szCs w:val="12"/>
          <w:color w:val="auto"/>
        </w:rPr>
      </w:pPr>
    </w:p>
    <w:p>
      <w:pPr>
        <w:ind w:left="56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22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California Resources Corporation</w:t>
      </w: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/s/ Michael L. Preston</w:t>
      </w:r>
    </w:p>
    <w:p>
      <w:pPr>
        <w:spacing w:after="0" w:line="17" w:lineRule="exact"/>
        <w:rPr>
          <w:sz w:val="20"/>
          <w:szCs w:val="20"/>
          <w:color w:val="auto"/>
        </w:rPr>
      </w:pPr>
    </w:p>
    <w:tbl>
      <w:tblPr>
        <w:tblLayout w:type="fixed"/>
        <w:tblInd w:w="4840" w:type="dxa"/>
        <w:tblCellMar>
          <w:top w:w="0" w:type="dxa"/>
          <w:left w:w="0" w:type="dxa"/>
          <w:bottom w:w="0" w:type="dxa"/>
          <w:right w:w="0" w:type="dxa"/>
        </w:tblCellMar>
      </w:tblPr>
      <w:tr>
        <w:trPr>
          <w:trHeight w:val="140"/>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Michael L. Preston</w:t>
            </w:r>
          </w:p>
        </w:tc>
      </w:tr>
      <w:tr>
        <w:trPr>
          <w:trHeight w:val="164"/>
        </w:trPr>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January 4, 2024</w:t>
      </w:r>
    </w:p>
    <w:p>
      <w:pPr>
        <w:sectPr>
          <w:pgSz w:w="11900" w:h="16838" w:orient="portrait"/>
          <w:cols w:equalWidth="0" w:num="1">
            <w:col w:w="11300"/>
          </w:cols>
          <w:pgMar w:left="300" w:top="98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2024-01-04T05:18:44Z</dcterms:created>
  <dcterms:modified xsi:type="dcterms:W3CDTF">2024-01-04T05:18:44Z</dcterms:modified>
</cp:coreProperties>
</file>